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cairo-premier-banker-services"/>
    <w:p>
      <w:pPr>
        <w:pStyle w:val="Heading1"/>
      </w:pPr>
      <w:r>
        <w:t xml:space="preserve">Cairo Premier Banker Services</w:t>
      </w:r>
    </w:p>
    <w:p>
      <w:pPr>
        <w:pStyle w:val="FirstParagraph"/>
      </w:pPr>
      <w:r>
        <w:t xml:space="preserve">Licensed Financial Advisor &amp; Corporate Banker</w:t>
      </w:r>
    </w:p>
    <w:p>
      <w:pPr>
        <w:pStyle w:val="BodyText"/>
      </w:pPr>
      <w:r>
        <w:t xml:space="preserve">12 Tahrir Square, Downtown District</w:t>
      </w:r>
    </w:p>
    <w:p>
      <w:pPr>
        <w:pStyle w:val="BodyText"/>
      </w:pPr>
      <w:r>
        <w:t xml:space="preserve">Cairo, Egypt 11511</w:t>
      </w:r>
    </w:p>
    <w:p>
      <w:pPr>
        <w:pStyle w:val="BodyText"/>
      </w:pPr>
      <w:r>
        <w:t xml:space="preserve">Tel: +20 2 2578 4433 | Email: services@cairobanker.com.eg</w:t>
      </w:r>
    </w:p>
    <w:p>
      <w:pPr>
        <w:pStyle w:val="BodyText"/>
      </w:pPr>
      <w:r>
        <w:t xml:space="preserve">Commercial Registration No: 114-2023-EG</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INV-CAIRO-2025-0487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Currency:</w:t>
      </w:r>
      <w:r>
        <w:t xml:space="preserve"> </w:t>
      </w:r>
      <w:r>
        <w:t xml:space="preserve">Egyptian Pound (EGP)</w:t>
      </w:r>
    </w:p>
    <w:bookmarkEnd w:id="21"/>
    <w:bookmarkStart w:id="22" w:name="banker-service-provider"/>
    <w:p>
      <w:pPr>
        <w:pStyle w:val="Heading3"/>
      </w:pPr>
      <w:r>
        <w:t xml:space="preserve">Banker / Service Provider</w:t>
      </w:r>
    </w:p>
    <w:p>
      <w:pPr>
        <w:pStyle w:val="FirstParagraph"/>
      </w:pPr>
      <w:r>
        <w:rPr>
          <w:bCs/>
          <w:b/>
        </w:rPr>
        <w:t xml:space="preserve">Name:</w:t>
      </w:r>
      <w:r>
        <w:t xml:space="preserve"> </w:t>
      </w:r>
      <w:r>
        <w:t xml:space="preserve">Mr. Ahmed Hassan El-Sayed</w:t>
      </w:r>
    </w:p>
    <w:p>
      <w:pPr>
        <w:pStyle w:val="BodyText"/>
      </w:pPr>
      <w:r>
        <w:rPr>
          <w:bCs/>
          <w:b/>
        </w:rPr>
        <w:t xml:space="preserve">Title:</w:t>
      </w:r>
      <w:r>
        <w:t xml:space="preserve"> </w:t>
      </w:r>
      <w:r>
        <w:t xml:space="preserve">Senior Corporate Banker</w:t>
      </w:r>
    </w:p>
    <w:p>
      <w:pPr>
        <w:pStyle w:val="BodyText"/>
      </w:pPr>
      <w:r>
        <w:rPr>
          <w:bCs/>
          <w:b/>
        </w:rPr>
        <w:t xml:space="preserve">Firm:</w:t>
      </w:r>
      <w:r>
        <w:t xml:space="preserve"> </w:t>
      </w:r>
      <w:r>
        <w:t xml:space="preserve">Cairo Premier Banker Services</w:t>
      </w:r>
    </w:p>
    <w:p>
      <w:pPr>
        <w:pStyle w:val="BodyText"/>
      </w:pPr>
      <w:r>
        <w:rPr>
          <w:bCs/>
          <w:b/>
        </w:rPr>
        <w:t xml:space="preserve">Address:</w:t>
      </w:r>
      <w:r>
        <w:t xml:space="preserve"> </w:t>
      </w:r>
      <w:r>
        <w:t xml:space="preserve">12 Tahrir Square, Downtown, Cairo, Egypt</w:t>
      </w:r>
    </w:p>
    <w:p>
      <w:pPr>
        <w:pStyle w:val="BodyText"/>
      </w:pPr>
      <w:r>
        <w:rPr>
          <w:bCs/>
          <w:b/>
        </w:rPr>
        <w:t xml:space="preserve">Tax ID (VAT):</w:t>
      </w:r>
      <w:r>
        <w:t xml:space="preserve"> </w:t>
      </w:r>
      <w:r>
        <w:t xml:space="preserve">552-881-443-001</w:t>
      </w:r>
    </w:p>
    <w:p>
      <w:pPr>
        <w:pStyle w:val="BodyText"/>
      </w:pPr>
      <w:r>
        <w:rPr>
          <w:bCs/>
          <w:b/>
        </w:rPr>
        <w:t xml:space="preserve">Bank Account:</w:t>
      </w:r>
      <w:r>
        <w:t xml:space="preserve"> </w:t>
      </w:r>
      <w:r>
        <w:t xml:space="preserve">CIB Cairo Branch, A/C 0045-8821-3376</w:t>
      </w:r>
    </w:p>
    <w:bookmarkEnd w:id="22"/>
    <w:bookmarkStart w:id="23" w:name="client-bill-to"/>
    <w:p>
      <w:pPr>
        <w:pStyle w:val="Heading3"/>
      </w:pPr>
      <w:r>
        <w:t xml:space="preserve">Client / Bill To</w:t>
      </w:r>
    </w:p>
    <w:p>
      <w:pPr>
        <w:pStyle w:val="FirstParagraph"/>
      </w:pPr>
      <w:r>
        <w:rPr>
          <w:bCs/>
          <w:b/>
        </w:rPr>
        <w:t xml:space="preserve">Name:</w:t>
      </w:r>
      <w:r>
        <w:t xml:space="preserve"> </w:t>
      </w:r>
      <w:r>
        <w:t xml:space="preserve">Nile Delta Trading &amp; Logistics Co.</w:t>
      </w:r>
    </w:p>
    <w:p>
      <w:pPr>
        <w:pStyle w:val="BodyText"/>
      </w:pPr>
      <w:r>
        <w:rPr>
          <w:bCs/>
          <w:b/>
        </w:rPr>
        <w:t xml:space="preserve">Attn:</w:t>
      </w:r>
      <w:r>
        <w:t xml:space="preserve"> </w:t>
      </w:r>
      <w:r>
        <w:t xml:space="preserve">Ms. Sarah Mahmoud, CFO</w:t>
      </w:r>
    </w:p>
    <w:p>
      <w:pPr>
        <w:pStyle w:val="BodyText"/>
      </w:pPr>
      <w:r>
        <w:rPr>
          <w:bCs/>
          <w:b/>
        </w:rPr>
        <w:t xml:space="preserve">Address:</w:t>
      </w:r>
      <w:r>
        <w:t xml:space="preserve"> </w:t>
      </w:r>
      <w:r>
        <w:t xml:space="preserve">45 El-Nasr City, 5th Settlement, Cairo, Egypt</w:t>
      </w:r>
    </w:p>
    <w:p>
      <w:pPr>
        <w:pStyle w:val="BodyText"/>
      </w:pPr>
      <w:r>
        <w:rPr>
          <w:bCs/>
          <w:b/>
        </w:rPr>
        <w:t xml:space="preserve">Tax ID (VAT):</w:t>
      </w:r>
      <w:r>
        <w:t xml:space="preserve"> </w:t>
      </w:r>
      <w:r>
        <w:t xml:space="preserve">552-993-221-007</w:t>
      </w:r>
    </w:p>
    <w:p>
      <w:pPr>
        <w:pStyle w:val="BodyText"/>
      </w:pPr>
      <w:r>
        <w:rPr>
          <w:bCs/>
          <w:b/>
        </w:rPr>
        <w:t xml:space="preserve">Contact:</w:t>
      </w:r>
      <w:r>
        <w:t xml:space="preserve"> </w:t>
      </w:r>
      <w:r>
        <w:t xml:space="preserve">+20 100 555 7788</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Banking Services</w:t>
            </w:r>
          </w:p>
        </w:tc>
        <w:tc>
          <w:tcPr/>
          <w:p>
            <w:pPr>
              <w:pStyle w:val="Compact"/>
              <w:jc w:val="left"/>
            </w:pPr>
            <w:r>
              <w:t xml:space="preserve">Reference / Period</w:t>
            </w:r>
          </w:p>
        </w:tc>
        <w:tc>
          <w:tcPr/>
          <w:p>
            <w:pPr>
              <w:pStyle w:val="Compact"/>
              <w:jc w:val="left"/>
            </w:pPr>
            <w:r>
              <w:t xml:space="preserve">Rate (EGP)</w:t>
            </w:r>
          </w:p>
        </w:tc>
        <w:tc>
          <w:tcPr/>
          <w:p>
            <w:pPr>
              <w:pStyle w:val="Compact"/>
              <w:jc w:val="left"/>
            </w:pPr>
            <w:r>
              <w:t xml:space="preserve">Qty</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Corporate banking advisory and account restructuring for multi-currency operations in Egypt Cairo financial markets</w:t>
            </w:r>
          </w:p>
        </w:tc>
        <w:tc>
          <w:tcPr/>
          <w:p>
            <w:pPr>
              <w:pStyle w:val="Compact"/>
              <w:jc w:val="left"/>
            </w:pPr>
            <w:r>
              <w:t xml:space="preserve">Q2 2025</w:t>
            </w:r>
          </w:p>
        </w:tc>
        <w:tc>
          <w:tcPr/>
          <w:p>
            <w:pPr>
              <w:pStyle w:val="Compact"/>
              <w:jc w:val="left"/>
            </w:pPr>
            <w:r>
              <w:t xml:space="preserve">12,500.00</w:t>
            </w:r>
          </w:p>
        </w:tc>
        <w:tc>
          <w:tcPr/>
          <w:p>
            <w:pPr>
              <w:pStyle w:val="Compact"/>
              <w:jc w:val="left"/>
            </w:pPr>
            <w:r>
              <w:t xml:space="preserve">1</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Trade finance facilitation including letters of credit and documentary collections for import/export operations</w:t>
            </w:r>
          </w:p>
        </w:tc>
        <w:tc>
          <w:tcPr/>
          <w:p>
            <w:pPr>
              <w:pStyle w:val="Compact"/>
              <w:jc w:val="left"/>
            </w:pPr>
            <w:r>
              <w:t xml:space="preserve">May 2025</w:t>
            </w:r>
          </w:p>
        </w:tc>
        <w:tc>
          <w:tcPr/>
          <w:p>
            <w:pPr>
              <w:pStyle w:val="Compact"/>
              <w:jc w:val="left"/>
            </w:pPr>
            <w:r>
              <w:t xml:space="preserve">8,750.00</w:t>
            </w:r>
          </w:p>
        </w:tc>
        <w:tc>
          <w:tcPr/>
          <w:p>
            <w:pPr>
              <w:pStyle w:val="Compact"/>
              <w:jc w:val="left"/>
            </w:pPr>
            <w:r>
              <w:t xml:space="preserve">3</w:t>
            </w:r>
          </w:p>
        </w:tc>
        <w:tc>
          <w:tcPr/>
          <w:p>
            <w:pPr>
              <w:pStyle w:val="Compact"/>
              <w:jc w:val="left"/>
            </w:pPr>
            <w:r>
              <w:t xml:space="preserve">26,250.00</w:t>
            </w:r>
          </w:p>
        </w:tc>
      </w:tr>
      <w:tr>
        <w:tc>
          <w:tcPr/>
          <w:p>
            <w:pPr>
              <w:pStyle w:val="Compact"/>
              <w:jc w:val="left"/>
            </w:pPr>
            <w:r>
              <w:t xml:space="preserve">3</w:t>
            </w:r>
          </w:p>
        </w:tc>
        <w:tc>
          <w:tcPr/>
          <w:p>
            <w:pPr>
              <w:pStyle w:val="Compact"/>
              <w:jc w:val="left"/>
            </w:pPr>
            <w:r>
              <w:t xml:space="preserve">Foreign exchange hedging strategy consultation and execution for USD/EGP exposure management</w:t>
            </w:r>
          </w:p>
        </w:tc>
        <w:tc>
          <w:tcPr/>
          <w:p>
            <w:pPr>
              <w:pStyle w:val="Compact"/>
              <w:jc w:val="left"/>
            </w:pPr>
            <w:r>
              <w:t xml:space="preserve">Apr–Jun 2025</w:t>
            </w:r>
          </w:p>
        </w:tc>
        <w:tc>
          <w:tcPr/>
          <w:p>
            <w:pPr>
              <w:pStyle w:val="Compact"/>
              <w:jc w:val="left"/>
            </w:pPr>
            <w:r>
              <w:t xml:space="preserve">15,000.00</w:t>
            </w:r>
          </w:p>
        </w:tc>
        <w:tc>
          <w:tcPr/>
          <w:p>
            <w:pPr>
              <w:pStyle w:val="Compact"/>
              <w:jc w:val="left"/>
            </w:pPr>
            <w:r>
              <w:t xml:space="preserve">2</w:t>
            </w:r>
          </w:p>
        </w:tc>
        <w:tc>
          <w:tcPr/>
          <w:p>
            <w:pPr>
              <w:pStyle w:val="Compact"/>
              <w:jc w:val="left"/>
            </w:pPr>
            <w:r>
              <w:t xml:space="preserve">30,000.00</w:t>
            </w:r>
          </w:p>
        </w:tc>
      </w:tr>
      <w:tr>
        <w:tc>
          <w:tcPr/>
          <w:p>
            <w:pPr>
              <w:pStyle w:val="Compact"/>
              <w:jc w:val="left"/>
            </w:pPr>
            <w:r>
              <w:t xml:space="preserve">4</w:t>
            </w:r>
          </w:p>
        </w:tc>
        <w:tc>
          <w:tcPr/>
          <w:p>
            <w:pPr>
              <w:pStyle w:val="Compact"/>
              <w:jc w:val="left"/>
            </w:pPr>
            <w:r>
              <w:t xml:space="preserve">Compliance review and Central Bank of Egypt regulatory reporting preparation for the banking quarter</w:t>
            </w:r>
          </w:p>
        </w:tc>
        <w:tc>
          <w:tcPr/>
          <w:p>
            <w:pPr>
              <w:pStyle w:val="Compact"/>
              <w:jc w:val="left"/>
            </w:pPr>
            <w:r>
              <w:t xml:space="preserve">Q2 2025</w:t>
            </w:r>
          </w:p>
        </w:tc>
        <w:tc>
          <w:tcPr/>
          <w:p>
            <w:pPr>
              <w:pStyle w:val="Compact"/>
              <w:jc w:val="left"/>
            </w:pPr>
            <w:r>
              <w:t xml:space="preserve">9,200.00</w:t>
            </w:r>
          </w:p>
        </w:tc>
        <w:tc>
          <w:tcPr/>
          <w:p>
            <w:pPr>
              <w:pStyle w:val="Compact"/>
              <w:jc w:val="left"/>
            </w:pPr>
            <w:r>
              <w:t xml:space="preserve">1</w:t>
            </w:r>
          </w:p>
        </w:tc>
        <w:tc>
          <w:tcPr/>
          <w:p>
            <w:pPr>
              <w:pStyle w:val="Compact"/>
              <w:jc w:val="left"/>
            </w:pPr>
            <w:r>
              <w:t xml:space="preserve">9,200.00</w:t>
            </w:r>
          </w:p>
        </w:tc>
      </w:tr>
      <w:tr>
        <w:tc>
          <w:tcPr/>
          <w:p>
            <w:pPr>
              <w:pStyle w:val="Compact"/>
              <w:jc w:val="left"/>
            </w:pPr>
            <w:r>
              <w:t xml:space="preserve">5</w:t>
            </w:r>
          </w:p>
        </w:tc>
        <w:tc>
          <w:tcPr/>
          <w:p>
            <w:pPr>
              <w:pStyle w:val="Compact"/>
              <w:jc w:val="left"/>
            </w:pPr>
            <w:r>
              <w:t xml:space="preserve">On-site banker consultation at client premises in Cairo for treasury management optimization</w:t>
            </w:r>
          </w:p>
        </w:tc>
        <w:tc>
          <w:tcPr/>
          <w:p>
            <w:pPr>
              <w:pStyle w:val="Compact"/>
              <w:jc w:val="left"/>
            </w:pPr>
            <w:r>
              <w:t xml:space="preserve">10 Jun 2025</w:t>
            </w:r>
          </w:p>
        </w:tc>
        <w:tc>
          <w:tcPr/>
          <w:p>
            <w:pPr>
              <w:pStyle w:val="Compact"/>
              <w:jc w:val="left"/>
            </w:pPr>
            <w:r>
              <w:t xml:space="preserve">4,500.00</w:t>
            </w:r>
          </w:p>
        </w:tc>
        <w:tc>
          <w:tcPr/>
          <w:p>
            <w:pPr>
              <w:pStyle w:val="Compact"/>
              <w:jc w:val="left"/>
            </w:pPr>
            <w:r>
              <w:t xml:space="preserve">4 hrs</w:t>
            </w:r>
          </w:p>
        </w:tc>
        <w:tc>
          <w:tcPr/>
          <w:p>
            <w:pPr>
              <w:pStyle w:val="Compact"/>
              <w:jc w:val="left"/>
            </w:pPr>
            <w:r>
              <w:t xml:space="preserve">18,000.00</w:t>
            </w:r>
          </w:p>
        </w:tc>
      </w:tr>
      <w:tr>
        <w:tc>
          <w:tcPr/>
          <w:p>
            <w:pPr>
              <w:pStyle w:val="Compact"/>
              <w:jc w:val="left"/>
            </w:pPr>
            <w:r>
              <w:t xml:space="preserve">6</w:t>
            </w:r>
          </w:p>
        </w:tc>
        <w:tc>
          <w:tcPr/>
          <w:p>
            <w:pPr>
              <w:pStyle w:val="Compact"/>
              <w:jc w:val="left"/>
            </w:pPr>
            <w:r>
              <w:t xml:space="preserve">Preparation of annual banking relationship report and credit facility renewal documentation</w:t>
            </w:r>
          </w:p>
        </w:tc>
        <w:tc>
          <w:tcPr/>
          <w:p>
            <w:pPr>
              <w:pStyle w:val="Compact"/>
              <w:jc w:val="left"/>
            </w:pPr>
            <w:r>
              <w:t xml:space="preserve">Jun 2025</w:t>
            </w:r>
          </w:p>
        </w:tc>
        <w:tc>
          <w:tcPr/>
          <w:p>
            <w:pPr>
              <w:pStyle w:val="Compact"/>
              <w:jc w:val="left"/>
            </w:pPr>
            <w:r>
              <w:t xml:space="preserve">6,800.00</w:t>
            </w:r>
          </w:p>
        </w:tc>
        <w:tc>
          <w:tcPr/>
          <w:p>
            <w:pPr>
              <w:pStyle w:val="Compact"/>
              <w:jc w:val="left"/>
            </w:pPr>
            <w:r>
              <w:t xml:space="preserve">1</w:t>
            </w:r>
          </w:p>
        </w:tc>
        <w:tc>
          <w:tcPr/>
          <w:p>
            <w:pPr>
              <w:pStyle w:val="Compact"/>
              <w:jc w:val="left"/>
            </w:pPr>
            <w:r>
              <w:t xml:space="preserve">6,800.00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102,750.00 EGP</w:t>
            </w:r>
          </w:p>
        </w:tc>
      </w:tr>
      <w:tr>
        <w:tc>
          <w:tcPr/>
          <w:p>
            <w:pPr>
              <w:pStyle w:val="Compact"/>
              <w:jc w:val="left"/>
            </w:pPr>
            <w:r>
              <w:t xml:space="preserve">VAT (14% – Egypt Standard Rate)</w:t>
            </w:r>
          </w:p>
        </w:tc>
        <w:tc>
          <w:tcPr/>
          <w:p>
            <w:pPr>
              <w:pStyle w:val="Compact"/>
              <w:jc w:val="left"/>
            </w:pPr>
            <w:r>
              <w:t xml:space="preserve">14,385.00 EGP</w:t>
            </w:r>
          </w:p>
        </w:tc>
      </w:tr>
      <w:tr>
        <w:tc>
          <w:tcPr/>
          <w:p>
            <w:pPr>
              <w:pStyle w:val="Compact"/>
              <w:jc w:val="left"/>
            </w:pPr>
            <w:r>
              <w:t xml:space="preserve">Banker Service Surcharge (2%)</w:t>
            </w:r>
          </w:p>
        </w:tc>
        <w:tc>
          <w:tcPr/>
          <w:p>
            <w:pPr>
              <w:pStyle w:val="Compact"/>
              <w:jc w:val="left"/>
            </w:pPr>
            <w:r>
              <w:t xml:space="preserve">2,055.00 EGP</w:t>
            </w:r>
          </w:p>
        </w:tc>
      </w:tr>
      <w:tr>
        <w:tc>
          <w:tcPr/>
          <w:p>
            <w:pPr>
              <w:pStyle w:val="Compact"/>
              <w:jc w:val="left"/>
            </w:pPr>
            <w:r>
              <w:t xml:space="preserve">Grand Total Due</w:t>
            </w:r>
          </w:p>
        </w:tc>
        <w:tc>
          <w:tcPr/>
          <w:p>
            <w:pPr>
              <w:pStyle w:val="Compact"/>
              <w:jc w:val="left"/>
            </w:pPr>
            <w:r>
              <w:t xml:space="preserve">119,190.00 EGP</w:t>
            </w:r>
          </w:p>
        </w:tc>
      </w:tr>
    </w:tbl>
    <w:bookmarkStart w:id="24" w:name="payment-terms-conditions"/>
    <w:p>
      <w:pPr>
        <w:pStyle w:val="Heading3"/>
      </w:pPr>
      <w:r>
        <w:t xml:space="preserve">Payment Terms &amp; Conditions</w:t>
      </w:r>
    </w:p>
    <w:p>
      <w:pPr>
        <w:numPr>
          <w:ilvl w:val="0"/>
          <w:numId w:val="1001"/>
        </w:numPr>
        <w:pStyle w:val="Compact"/>
      </w:pPr>
      <w:r>
        <w:t xml:space="preserve">This Invoice must be settled in full within fourteen (14) calendar days from the date of issue, i.e., no later than 30 June 2025.</w:t>
      </w:r>
    </w:p>
    <w:p>
      <w:pPr>
        <w:numPr>
          <w:ilvl w:val="0"/>
          <w:numId w:val="1001"/>
        </w:numPr>
        <w:pStyle w:val="Compact"/>
      </w:pPr>
      <w:r>
        <w:t xml:space="preserve">Payment shall be made via bank transfer to the account of Cairo Premier Banker Services at Commercial International Bank (CIB), Cairo Downtown Branch, Account No. 0045-8821-3376, SWIFT: CIBEGCA0.</w:t>
      </w:r>
    </w:p>
    <w:p>
      <w:pPr>
        <w:numPr>
          <w:ilvl w:val="0"/>
          <w:numId w:val="1001"/>
        </w:numPr>
        <w:pStyle w:val="Compact"/>
      </w:pPr>
      <w:r>
        <w:t xml:space="preserve">All amounts are denominated in Egyptian Pounds (EGP) and are subject to the prevailing exchange rates set by the Central Bank of Egypt at the time of transaction.</w:t>
      </w:r>
    </w:p>
    <w:p>
      <w:pPr>
        <w:numPr>
          <w:ilvl w:val="0"/>
          <w:numId w:val="1001"/>
        </w:numPr>
        <w:pStyle w:val="Compact"/>
      </w:pPr>
      <w:r>
        <w:t xml:space="preserve">Late payments shall incur a penalty interest of 1.5% per month, calculated from the due date until full settlement, in accordance with Egyptian commercial banking regulations.</w:t>
      </w:r>
    </w:p>
    <w:p>
      <w:pPr>
        <w:numPr>
          <w:ilvl w:val="0"/>
          <w:numId w:val="1001"/>
        </w:numPr>
        <w:pStyle w:val="Compact"/>
      </w:pPr>
      <w:r>
        <w:t xml:space="preserve">This Invoice is valid for one hundred and eighty (180) days from the date of issue. After this period, the Banker reserves the right to reissue the document with updated rates.</w:t>
      </w:r>
    </w:p>
    <w:p>
      <w:pPr>
        <w:numPr>
          <w:ilvl w:val="0"/>
          <w:numId w:val="1001"/>
        </w:numPr>
        <w:pStyle w:val="Compact"/>
      </w:pPr>
      <w:r>
        <w:t xml:space="preserve">Any disputes arising from this Invoice shall be governed by the laws of the Arab Republic of Egypt and shall be subject to the jurisdiction of the Cairo Commercial Courts.</w:t>
      </w:r>
    </w:p>
    <w:bookmarkEnd w:id="24"/>
    <w:bookmarkStart w:id="25" w:name="additional-notes-from-the-banker"/>
    <w:p>
      <w:pPr>
        <w:pStyle w:val="Heading3"/>
      </w:pPr>
      <w:r>
        <w:t xml:space="preserve">Additional Notes from the Banker</w:t>
      </w:r>
    </w:p>
    <w:p>
      <w:pPr>
        <w:pStyle w:val="FirstParagraph"/>
      </w:pPr>
      <w:r>
        <w:t xml:space="preserve">Dear Ms. Mahmoud,</w:t>
      </w:r>
    </w:p>
    <w:p>
      <w:pPr>
        <w:pStyle w:val="BodyText"/>
      </w:pPr>
      <w:r>
        <w:t xml:space="preserve">Thank you for entrusting Cairo Premier Banker Services with your corporate treasury and trade finance requirements during the second quarter of 2025. This Invoice reflects the full scope of banking advisory, transactional, and compliance services rendered by your dedicated Banker, Mr. Ahmed Hassan El-Sayed, throughout the period specified above.</w:t>
      </w:r>
    </w:p>
    <w:p>
      <w:pPr>
        <w:pStyle w:val="BodyText"/>
      </w:pPr>
      <w:r>
        <w:t xml:space="preserve">Please note that the foreign exchange hedging positions executed on your behalf remain active until the maturity dates indicated in the separate trade confirmation documents. Should you require any amendments to the credit facility or wish to discuss the upcoming annual banking review, please contact your assigned Banker directly at the Cairo office or via the email address listed above.</w:t>
      </w:r>
    </w:p>
    <w:p>
      <w:pPr>
        <w:pStyle w:val="BodyText"/>
      </w:pPr>
      <w:r>
        <w:t xml:space="preserve">All services described in this Invoice have been performed in full compliance with the regulations issued by the Central Bank of Egypt and the Egyptian Financial Regulatory Authority (FRA). Supporting documentation, including transaction confirmations and compliance certificates, is available upon request and will be provided within five business days of a written inquiry.</w:t>
      </w:r>
    </w:p>
    <w:p>
      <w:pPr>
        <w:pStyle w:val="BodyText"/>
      </w:pPr>
      <w:r>
        <w:t xml:space="preserve">We remain committed to delivering the highest standard of banking service to our clients in Egypt Cairo and the broader Egyptian market. Your continued partnership is greatly valued.</w:t>
      </w:r>
    </w:p>
    <w:bookmarkEnd w:id="25"/>
    <w:p>
      <w:pPr>
        <w:pStyle w:val="BodyText"/>
      </w:pPr>
      <w:r>
        <w:t xml:space="preserve">Authorized Signature &amp; Company Stamp</w:t>
      </w:r>
    </w:p>
    <w:p>
      <w:pPr>
        <w:pStyle w:val="BodyText"/>
      </w:pPr>
      <w:r>
        <w:t xml:space="preserve">______________________________</w:t>
      </w:r>
    </w:p>
    <w:p>
      <w:pPr>
        <w:pStyle w:val="BodyText"/>
      </w:pPr>
      <w:r>
        <w:t xml:space="preserve">Mr. Ahmed Hassan El-Sayed – Senior Corporate Banker</w:t>
      </w:r>
    </w:p>
    <w:p>
      <w:pPr>
        <w:pStyle w:val="BodyText"/>
      </w:pPr>
      <w:r>
        <w:t xml:space="preserve">Cairo Premier Banker Services – Cairo, Egypt</w:t>
      </w:r>
    </w:p>
    <w:p>
      <w:pPr>
        <w:pStyle w:val="BodyText"/>
      </w:pPr>
      <w:r>
        <w:rPr>
          <w:bCs/>
          <w:b/>
        </w:rPr>
        <w:t xml:space="preserve">Cairo Premier Banker Services</w:t>
      </w:r>
      <w:r>
        <w:t xml:space="preserve"> </w:t>
      </w:r>
      <w:r>
        <w:t xml:space="preserve">| 12 Tahrir Square, Downtown, Cairo, Egypt 11511</w:t>
      </w:r>
    </w:p>
    <w:p>
      <w:pPr>
        <w:pStyle w:val="BodyText"/>
      </w:pPr>
      <w:r>
        <w:t xml:space="preserve">Commercial Registration: 114-2023-EG | VAT: 552-881-443-001 | FRA License: FIN-2024-0892</w:t>
      </w:r>
    </w:p>
    <w:p>
      <w:pPr>
        <w:pStyle w:val="BodyText"/>
      </w:pPr>
      <w:r>
        <w:t xml:space="preserve">This Invoice was generated electronically and is valid without a physical stamp. For verification, contact the issuing Banker at services@cairobanker.com.eg.</w:t>
      </w:r>
    </w:p>
    <w:p>
      <w:pPr>
        <w:pStyle w:val="BodyText"/>
      </w:pPr>
      <w:r>
        <w:t xml:space="preserve">© 2025 Cairo Premier Banker Services. All rights reserved. Document Ref: INV-CAIRO-2025-0487.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Banker Services - Egypt Cairo</dc:title>
  <dc:creator/>
  <dc:language>en</dc:language>
  <cp:keywords/>
  <dcterms:created xsi:type="dcterms:W3CDTF">2026-10-10T07:21:04Z</dcterms:created>
  <dcterms:modified xsi:type="dcterms:W3CDTF">2026-10-10T07:21:04Z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