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Banking</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invoice"/>
    <w:p>
      <w:pPr>
        <w:pStyle w:val="Heading1"/>
      </w:pPr>
      <w:r>
        <w:t xml:space="preserve">INVOICE</w:t>
      </w:r>
    </w:p>
    <w:p>
      <w:pPr>
        <w:pStyle w:val="FirstParagraph"/>
      </w:pPr>
      <w:r>
        <w:t xml:space="preserve">Professional Banking &amp; Financial Advisory Services</w:t>
      </w:r>
    </w:p>
    <w:p>
      <w:pPr>
        <w:pStyle w:val="BodyText"/>
      </w:pPr>
      <w:r>
        <w:t xml:space="preserve">Ethiopia Addis Ababa | Bole Sub-City, Woreda 03, House No. 4521</w:t>
      </w:r>
    </w:p>
    <w:p>
      <w:pPr>
        <w:pStyle w:val="BodyText"/>
      </w:pPr>
      <w:r>
        <w:t xml:space="preserve">Tel: +251-11-555-0198 | Email: services@bankeraddis.et</w:t>
      </w:r>
    </w:p>
    <w:p>
      <w:pPr>
        <w:pStyle w:val="BodyText"/>
      </w:pPr>
      <w:r>
        <w:t xml:space="preserve">INVOICE NO: INV-2025-ET-04872</w:t>
      </w:r>
    </w:p>
    <w:bookmarkEnd w:id="20"/>
    <w:bookmarkStart w:id="21" w:name="issued-by-the-banker"/>
    <w:p>
      <w:pPr>
        <w:pStyle w:val="Heading3"/>
      </w:pPr>
      <w:r>
        <w:t xml:space="preserve">Issued By (The Banker)</w:t>
      </w:r>
    </w:p>
    <w:p>
      <w:pPr>
        <w:pStyle w:val="FirstParagraph"/>
      </w:pPr>
      <w:r>
        <w:rPr>
          <w:bCs/>
          <w:b/>
        </w:rPr>
        <w:t xml:space="preserve">Abraham Tesfaye</w:t>
      </w:r>
    </w:p>
    <w:p>
      <w:pPr>
        <w:pStyle w:val="BodyText"/>
      </w:pPr>
      <w:r>
        <w:t xml:space="preserve">Senior Banker &amp; Financial Consultant</w:t>
      </w:r>
    </w:p>
    <w:p>
      <w:pPr>
        <w:pStyle w:val="BodyText"/>
      </w:pPr>
      <w:r>
        <w:t xml:space="preserve">Ethiopian Commercial Bank – Corporate Division</w:t>
      </w:r>
    </w:p>
    <w:p>
      <w:pPr>
        <w:pStyle w:val="BodyText"/>
      </w:pPr>
      <w:r>
        <w:t xml:space="preserve">Bole Road, Addis Ababa, Ethiopia</w:t>
      </w:r>
    </w:p>
    <w:p>
      <w:pPr>
        <w:pStyle w:val="BodyText"/>
      </w:pPr>
      <w:r>
        <w:t xml:space="preserve">TIN: ET-44829103-7</w:t>
      </w:r>
    </w:p>
    <w:p>
      <w:pPr>
        <w:pStyle w:val="BodyText"/>
      </w:pPr>
      <w:r>
        <w:t xml:space="preserve">License No: BKE-2019-00342</w:t>
      </w:r>
    </w:p>
    <w:bookmarkEnd w:id="21"/>
    <w:bookmarkStart w:id="22" w:name="billed-to-client"/>
    <w:p>
      <w:pPr>
        <w:pStyle w:val="Heading3"/>
      </w:pPr>
      <w:r>
        <w:t xml:space="preserve">Billed To (Client)</w:t>
      </w:r>
    </w:p>
    <w:p>
      <w:pPr>
        <w:pStyle w:val="FirstParagraph"/>
      </w:pPr>
      <w:r>
        <w:rPr>
          <w:bCs/>
          <w:b/>
        </w:rPr>
        <w:t xml:space="preserve">Meridian Trade &amp; Export PLC</w:t>
      </w:r>
    </w:p>
    <w:p>
      <w:pPr>
        <w:pStyle w:val="BodyText"/>
      </w:pPr>
      <w:r>
        <w:t xml:space="preserve">Attn: Ms. Selamawit Girma, CFO</w:t>
      </w:r>
    </w:p>
    <w:p>
      <w:pPr>
        <w:pStyle w:val="BodyText"/>
      </w:pPr>
      <w:r>
        <w:t xml:space="preserve">Kazanchis Avenue, Addis Ababa, Ethiopia</w:t>
      </w:r>
    </w:p>
    <w:p>
      <w:pPr>
        <w:pStyle w:val="BodyText"/>
      </w:pPr>
      <w:r>
        <w:t xml:space="preserve">TIN: ET-77102345-1</w:t>
      </w:r>
    </w:p>
    <w:p>
      <w:pPr>
        <w:pStyle w:val="BodyText"/>
      </w:pPr>
      <w:r>
        <w:t xml:space="preserve">Client Ref: MTX-2025-114</w:t>
      </w:r>
    </w:p>
    <w:bookmarkEnd w:id="22"/>
    <w:bookmarkStart w:id="23" w:name="invoice-details"/>
    <w:p>
      <w:pPr>
        <w:pStyle w:val="Heading3"/>
      </w:pPr>
      <w:r>
        <w:t xml:space="preserve">Invoice Details</w:t>
      </w:r>
    </w:p>
    <w:p>
      <w:pPr>
        <w:pStyle w:val="FirstParagraph"/>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Ethiopian Birr (ETB)</w:t>
      </w:r>
    </w:p>
    <w:p>
      <w:pPr>
        <w:pStyle w:val="BodyText"/>
      </w:pPr>
      <w:r>
        <w:rPr>
          <w:bCs/>
          <w:b/>
        </w:rPr>
        <w:t xml:space="preserve">Payment Method:</w:t>
      </w:r>
      <w:r>
        <w:t xml:space="preserve"> </w:t>
      </w:r>
      <w:r>
        <w:t xml:space="preserve">Bank Transfer</w:t>
      </w:r>
    </w:p>
    <w:bookmarkEnd w:id="23"/>
    <w:bookmarkStart w:id="25" w:name="description-of-banking-services-rendered"/>
    <w:p>
      <w:pPr>
        <w:pStyle w:val="Heading2"/>
      </w:pPr>
      <w:r>
        <w:t xml:space="preserve">Description of Banking Services Rendered</w:t>
      </w:r>
    </w:p>
    <w:p>
      <w:pPr>
        <w:pStyle w:val="FirstParagraph"/>
      </w:pPr>
      <w:r>
        <w:t xml:space="preserve">The following Invoice covers professional banking and financial advisory services provided by the undersigned Banker to the client in Ethiopia Addis Ababa during the period of 1 June 2025 through 15 June 2025. All services were conducted in compliance with the National Bank of Ethiopia regulations and the Ethiopian Commercial Code.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Rate (ETB)</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Corporate Foreign Exchange Advisory – USD/ETB conversion strategy for import financing, conducted at the Banker's office in Addis Ababa, Ethiopia</w:t>
            </w:r>
          </w:p>
        </w:tc>
        <w:tc>
          <w:tcPr/>
          <w:p>
            <w:pPr>
              <w:pStyle w:val="Compact"/>
              <w:jc w:val="left"/>
            </w:pPr>
            <w:r>
              <w:t xml:space="preserve">02 Jun 2025</w:t>
            </w:r>
          </w:p>
        </w:tc>
        <w:tc>
          <w:tcPr/>
          <w:p>
            <w:pPr>
              <w:pStyle w:val="Compact"/>
              <w:jc w:val="left"/>
            </w:pPr>
            <w:r>
              <w:t xml:space="preserve">3 hrs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2</w:t>
            </w:r>
          </w:p>
        </w:tc>
        <w:tc>
          <w:tcPr/>
          <w:p>
            <w:pPr>
              <w:pStyle w:val="Compact"/>
              <w:jc w:val="left"/>
            </w:pPr>
            <w:r>
              <w:t xml:space="preserve">Trade Finance Structuring – Letter of Credit (LC) issuance and documentation review for agricultural export to the European Union</w:t>
            </w:r>
          </w:p>
        </w:tc>
        <w:tc>
          <w:tcPr/>
          <w:p>
            <w:pPr>
              <w:pStyle w:val="Compact"/>
              <w:jc w:val="left"/>
            </w:pPr>
            <w:r>
              <w:t xml:space="preserve">05 Jun 2025</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3</w:t>
            </w:r>
          </w:p>
        </w:tc>
        <w:tc>
          <w:tcPr/>
          <w:p>
            <w:pPr>
              <w:pStyle w:val="Compact"/>
              <w:jc w:val="left"/>
            </w:pPr>
            <w:r>
              <w:t xml:space="preserve">Working Capital Loan Facilitation – End-to-end processing, credit assessment, and disbursement coordination with the lending institution in Ethiopia Addis Ababa</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Payroll Banking Setup – Multi-branch salary disbursement arrangement across Addis Ababa and Oromia regional branches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5</w:t>
            </w:r>
          </w:p>
        </w:tc>
        <w:tc>
          <w:tcPr/>
          <w:p>
            <w:pPr>
              <w:pStyle w:val="Compact"/>
              <w:jc w:val="left"/>
            </w:pPr>
            <w:r>
              <w:t xml:space="preserve">Regulatory Compliance Review – Annual audit support for National Bank of Ethiopia reporting requirements, prepared by the assigned Banker</w:t>
            </w:r>
          </w:p>
        </w:tc>
        <w:tc>
          <w:tcPr/>
          <w:p>
            <w:pPr>
              <w:pStyle w:val="Compact"/>
              <w:jc w:val="left"/>
            </w:pPr>
            <w:r>
              <w:t xml:space="preserve">12 Jun 2025</w:t>
            </w:r>
          </w:p>
        </w:tc>
        <w:tc>
          <w:tcPr/>
          <w:p>
            <w:pPr>
              <w:pStyle w:val="Compact"/>
              <w:jc w:val="left"/>
            </w:pPr>
            <w:r>
              <w:t xml:space="preserve">5 hrs</w:t>
            </w:r>
          </w:p>
        </w:tc>
        <w:tc>
          <w:tcPr/>
          <w:p>
            <w:pPr>
              <w:pStyle w:val="Compact"/>
              <w:jc w:val="left"/>
            </w:pPr>
            <w:r>
              <w:t xml:space="preserve">3,800.00</w:t>
            </w:r>
          </w:p>
        </w:tc>
        <w:tc>
          <w:tcPr/>
          <w:p>
            <w:pPr>
              <w:pStyle w:val="Compact"/>
              <w:jc w:val="left"/>
            </w:pPr>
            <w:r>
              <w:t xml:space="preserve">19,000.00</w:t>
            </w:r>
          </w:p>
        </w:tc>
      </w:tr>
      <w:tr>
        <w:tc>
          <w:tcPr/>
          <w:p>
            <w:pPr>
              <w:pStyle w:val="Compact"/>
              <w:jc w:val="left"/>
            </w:pPr>
            <w:r>
              <w:t xml:space="preserve">6</w:t>
            </w:r>
          </w:p>
        </w:tc>
        <w:tc>
          <w:tcPr/>
          <w:p>
            <w:pPr>
              <w:pStyle w:val="Compact"/>
              <w:jc w:val="left"/>
            </w:pPr>
            <w:r>
              <w:t xml:space="preserve">Investment Portfolio Consultation – Diversification strategy for corporate surplus funds in Ethiopian government bonds and equities</w:t>
            </w:r>
          </w:p>
        </w:tc>
        <w:tc>
          <w:tcPr/>
          <w:p>
            <w:pPr>
              <w:pStyle w:val="Compact"/>
              <w:jc w:val="left"/>
            </w:pPr>
            <w:r>
              <w:t xml:space="preserve">14 Jun 2025</w:t>
            </w:r>
          </w:p>
        </w:tc>
        <w:tc>
          <w:tcPr/>
          <w:p>
            <w:pPr>
              <w:pStyle w:val="Compact"/>
              <w:jc w:val="left"/>
            </w:pPr>
            <w:r>
              <w:t xml:space="preserve">2 hrs</w:t>
            </w:r>
          </w:p>
        </w:tc>
        <w:tc>
          <w:tcPr/>
          <w:p>
            <w:pPr>
              <w:pStyle w:val="Compact"/>
              <w:jc w:val="left"/>
            </w:pPr>
            <w:r>
              <w:t xml:space="preserve">5,200.00</w:t>
            </w:r>
          </w:p>
        </w:tc>
        <w:tc>
          <w:tcPr/>
          <w:p>
            <w:pPr>
              <w:pStyle w:val="Compact"/>
              <w:jc w:val="left"/>
            </w:pPr>
            <w:r>
              <w:t xml:space="preserve">10,400.00</w:t>
            </w:r>
          </w:p>
        </w:tc>
      </w:tr>
      <w:tr>
        <w:tc>
          <w:tcPr/>
          <w:p>
            <w:pPr>
              <w:pStyle w:val="Compact"/>
              <w:jc w:val="left"/>
            </w:pPr>
            <w:r>
              <w:t xml:space="preserve">7</w:t>
            </w:r>
          </w:p>
        </w:tc>
        <w:tc>
          <w:tcPr/>
          <w:p>
            <w:pPr>
              <w:pStyle w:val="Compact"/>
              <w:jc w:val="left"/>
            </w:pPr>
            <w:r>
              <w:t xml:space="preserve">On-site Banking Operations Audit – Physical verification of cash handling, vault security, and transaction reconciliation at the client's Addis Ababa headquarters</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left"/>
            </w:pPr>
            <w:r>
              <w:t xml:space="preserve">Amount (ETB)</w:t>
            </w:r>
          </w:p>
        </w:tc>
      </w:tr>
      <w:tr>
        <w:tc>
          <w:tcPr/>
          <w:p>
            <w:pPr>
              <w:pStyle w:val="Compact"/>
              <w:jc w:val="left"/>
            </w:pPr>
            <w:r>
              <w:t xml:space="preserve">Subtotal</w:t>
            </w:r>
          </w:p>
        </w:tc>
        <w:tc>
          <w:tcPr/>
          <w:p>
            <w:pPr>
              <w:pStyle w:val="Compact"/>
              <w:jc w:val="left"/>
            </w:pPr>
            <w:r>
              <w:t xml:space="preserve">156,400.00</w:t>
            </w:r>
          </w:p>
        </w:tc>
      </w:tr>
      <w:tr>
        <w:tc>
          <w:tcPr/>
          <w:p>
            <w:pPr>
              <w:pStyle w:val="Compact"/>
              <w:jc w:val="left"/>
            </w:pPr>
            <w:r>
              <w:t xml:space="preserve">VAT (15% – Ethiopian Revenue Authority)</w:t>
            </w:r>
          </w:p>
        </w:tc>
        <w:tc>
          <w:tcPr/>
          <w:p>
            <w:pPr>
              <w:pStyle w:val="Compact"/>
              <w:jc w:val="left"/>
            </w:pPr>
            <w:r>
              <w:t xml:space="preserve">23,460.00</w:t>
            </w:r>
          </w:p>
        </w:tc>
      </w:tr>
      <w:tr>
        <w:tc>
          <w:tcPr/>
          <w:p>
            <w:pPr>
              <w:pStyle w:val="Compact"/>
              <w:jc w:val="left"/>
            </w:pPr>
            <w:r>
              <w:t xml:space="preserve">Service Tax (2%)</w:t>
            </w:r>
          </w:p>
        </w:tc>
        <w:tc>
          <w:tcPr/>
          <w:p>
            <w:pPr>
              <w:pStyle w:val="Compact"/>
              <w:jc w:val="left"/>
            </w:pPr>
            <w:r>
              <w:t xml:space="preserve">3,128.00</w:t>
            </w:r>
          </w:p>
        </w:tc>
      </w:tr>
      <w:tr>
        <w:tc>
          <w:tcPr/>
          <w:p>
            <w:pPr>
              <w:pStyle w:val="Compact"/>
              <w:jc w:val="left"/>
            </w:pPr>
            <w:r>
              <w:t xml:space="preserve">Withholding Tax (2% – deducted at source)</w:t>
            </w:r>
          </w:p>
        </w:tc>
        <w:tc>
          <w:tcPr/>
          <w:p>
            <w:pPr>
              <w:pStyle w:val="Compact"/>
              <w:jc w:val="left"/>
            </w:pPr>
            <w:r>
              <w:t xml:space="preserve">(3,128.00)</w:t>
            </w:r>
          </w:p>
        </w:tc>
      </w:tr>
      <w:tr>
        <w:tc>
          <w:tcPr/>
          <w:p>
            <w:pPr>
              <w:pStyle w:val="Compact"/>
              <w:jc w:val="left"/>
            </w:pPr>
            <w:r>
              <w:t xml:space="preserve">GRAND TOTAL DUE</w:t>
            </w:r>
          </w:p>
        </w:tc>
        <w:tc>
          <w:tcPr/>
          <w:p>
            <w:pPr>
              <w:pStyle w:val="Compact"/>
              <w:jc w:val="left"/>
            </w:pPr>
            <w:r>
              <w:t xml:space="preserve">179,860.00</w:t>
            </w:r>
          </w:p>
        </w:tc>
      </w:tr>
    </w:tbl>
    <w:bookmarkStart w:id="24" w:name="terms-conditions-payment-instructions"/>
    <w:p>
      <w:pPr>
        <w:pStyle w:val="Heading3"/>
      </w:pPr>
      <w:r>
        <w:t xml:space="preserve">Terms, Conditions &amp; Payment Instructions</w:t>
      </w:r>
    </w:p>
    <w:p>
      <w:pPr>
        <w:pStyle w:val="FirstParagraph"/>
      </w:pPr>
      <w:r>
        <w:rPr>
          <w:bCs/>
          <w:b/>
        </w:rPr>
        <w:t xml:space="preserve">1.</w:t>
      </w:r>
      <w:r>
        <w:t xml:space="preserve"> </w:t>
      </w:r>
      <w:r>
        <w:t xml:space="preserve">This Invoice is issued in accordance with the Ethiopian Commercial Code (Proclamation No. 1210/2020) and the National Bank of Ethiopia's directives on banking service fee structures. The Banker reserves the right to adjust rates in compliance with updated regulatory circulars.</w:t>
      </w:r>
    </w:p>
    <w:p>
      <w:pPr>
        <w:pStyle w:val="BodyText"/>
      </w:pPr>
      <w:r>
        <w:rPr>
          <w:bCs/>
          <w:b/>
        </w:rPr>
        <w:t xml:space="preserve">2.</w:t>
      </w:r>
      <w:r>
        <w:t xml:space="preserve"> </w:t>
      </w:r>
      <w:r>
        <w:t xml:space="preserve">Payment of the full amount of ETB 179,860.00 (One Hundred Seventy-Nine Thousand Eight Hundred Sixty Ethiopian Birr) is due no later than 30 June 2025. Late payments shall attract a penalty interest of 1.5% per month as stipulated in the service agreement.</w:t>
      </w:r>
    </w:p>
    <w:p>
      <w:pPr>
        <w:pStyle w:val="BodyText"/>
      </w:pPr>
      <w:r>
        <w:rPr>
          <w:bCs/>
          <w:b/>
        </w:rPr>
        <w:t xml:space="preserve">3.</w:t>
      </w:r>
      <w:r>
        <w:t xml:space="preserve"> </w:t>
      </w:r>
      <w:r>
        <w:t xml:space="preserve">Payment shall be made via bank transfer to the following account: Ethiopian Commercial Bank, Branch: Bole, Addis Ababa, Ethiopia. Account Name: Abraham Tesfaye – Banking Advisory Services. Account Number: 1001-0045-8823-7712. SWIFT: ETCBETAA.</w:t>
      </w:r>
    </w:p>
    <w:p>
      <w:pPr>
        <w:pStyle w:val="BodyText"/>
      </w:pPr>
      <w:r>
        <w:rPr>
          <w:bCs/>
          <w:b/>
        </w:rPr>
        <w:t xml:space="preserve">4.</w:t>
      </w:r>
      <w:r>
        <w:t xml:space="preserve"> </w:t>
      </w:r>
      <w:r>
        <w:t xml:space="preserve">All services described in this Invoice were performed by a licensed Banker operating within the jurisdiction of Ethiopia Addis Ababa. The Banker holds a valid professional license issued by the National Bank of Ethiopia and is registered with the Ethiopian Chamber of Commerce.</w:t>
      </w:r>
    </w:p>
    <w:p>
      <w:pPr>
        <w:pStyle w:val="BodyText"/>
      </w:pPr>
      <w:r>
        <w:rPr>
          <w:bCs/>
          <w:b/>
        </w:rPr>
        <w:t xml:space="preserve">5.</w:t>
      </w:r>
      <w:r>
        <w:t xml:space="preserve"> </w:t>
      </w:r>
      <w:r>
        <w:t xml:space="preserve">This Invoice is valid for 90 days from the date of issue. After this period, the Banker reserves the right to reissue the Invoice with updated tax calculations if applicable rates have changed.</w:t>
      </w:r>
    </w:p>
    <w:p>
      <w:pPr>
        <w:pStyle w:val="BodyText"/>
      </w:pPr>
      <w:r>
        <w:rPr>
          <w:bCs/>
          <w:b/>
        </w:rPr>
        <w:t xml:space="preserve">6.</w:t>
      </w:r>
      <w:r>
        <w:t xml:space="preserve"> </w:t>
      </w:r>
      <w:r>
        <w:t xml:space="preserve">The client acknowledges that all banking transactions facilitated under this engagement are subject to the Anti-Money Laundering and Counter-Terrorism Financing Proclamation (No. 595/2009) of Ethiopia. The Banker shall report any suspicious activity as required by law.</w:t>
      </w:r>
    </w:p>
    <w:p>
      <w:pPr>
        <w:pStyle w:val="BodyText"/>
      </w:pPr>
      <w:r>
        <w:rPr>
          <w:bCs/>
          <w:b/>
        </w:rPr>
        <w:t xml:space="preserve">7.</w:t>
      </w:r>
      <w:r>
        <w:t xml:space="preserve"> </w:t>
      </w:r>
      <w:r>
        <w:t xml:space="preserve">Disputes arising from this Invoice or the underlying services shall be resolved through the Addis Ababa City Court or, at the mutual agreement of both parties, through arbitration under the Ethiopian Arbitration and Conciliation Proclamation (No. 1221/2020).</w:t>
      </w:r>
    </w:p>
    <w:bookmarkEnd w:id="24"/>
    <w:p>
      <w:pPr>
        <w:pStyle w:val="BodyText"/>
      </w:pPr>
      <w:r>
        <w:rPr>
          <w:bCs/>
          <w:b/>
        </w:rPr>
        <w:t xml:space="preserve">Authorized Signatory (The Banker):</w:t>
      </w:r>
    </w:p>
    <w:p>
      <w:pPr>
        <w:pStyle w:val="BodyText"/>
      </w:pPr>
      <w:r>
        <w:t xml:space="preserve">Abraham Tesfaye, Senior Banker</w:t>
      </w:r>
    </w:p>
    <w:p>
      <w:pPr>
        <w:pStyle w:val="BodyText"/>
      </w:pPr>
      <w:r>
        <w:t xml:space="preserve">This Invoice was generated and issued in Addis Ababa, Ethiopia on 15 June 2025.</w:t>
      </w:r>
    </w:p>
    <w:p>
      <w:pPr>
        <w:pStyle w:val="BodyText"/>
      </w:pPr>
      <w:r>
        <w:t xml:space="preserve">Document Reference: INV-2025-ET-04872 | Page 1 of 1</w:t>
      </w:r>
    </w:p>
    <w:p>
      <w:pPr>
        <w:pStyle w:val="BodyText"/>
      </w:pPr>
      <w:r>
        <w:t xml:space="preserve">© 2025 Banking Advisory Services – Ethiopia Addis Ababa. All rights reserved. This document is a legally binding Invoice under Ethiopian law.</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Banking Services - Ethiopia Addis Ababa</dc:title>
  <dc:creator/>
  <dc:language>en</dc:language>
  <cp:keywords/>
  <dcterms:created xsi:type="dcterms:W3CDTF">2026-10-10T06:23:37Z</dcterms:created>
  <dcterms:modified xsi:type="dcterms:W3CDTF">2026-10-10T06:23:37Z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