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France</w:t>
      </w:r>
      <w:r>
        <w:t xml:space="preserve"> </w:t>
      </w:r>
      <w:r>
        <w:t xml:space="preserve">Lyon</w:t>
      </w:r>
    </w:p>
    <w:p>
      <w:pPr>
        <w:pStyle w:val="FirstParagraph"/>
      </w:pPr>
      <w:r>
        <w:t xml:space="preserve">INVOICE</w:t>
      </w:r>
    </w:p>
    <w:p>
      <w:pPr>
        <w:pStyle w:val="BodyText"/>
      </w:pPr>
      <w:r>
        <w:t xml:space="preserve">Professional Banking &amp; Financial Advisory Services — Lyon, France</w:t>
      </w:r>
    </w:p>
    <w:bookmarkStart w:id="20" w:name="issued-by-the-banker"/>
    <w:p>
      <w:pPr>
        <w:pStyle w:val="Heading3"/>
      </w:pPr>
      <w:r>
        <w:t xml:space="preserve">Issued By (The Banker)</w:t>
      </w:r>
    </w:p>
    <w:p>
      <w:pPr>
        <w:pStyle w:val="FirstParagraph"/>
      </w:pPr>
      <w:r>
        <w:rPr>
          <w:bCs/>
          <w:b/>
        </w:rPr>
        <w:t xml:space="preserve">Philippe Moreau, CFA, CFP</w:t>
      </w:r>
    </w:p>
    <w:p>
      <w:pPr>
        <w:pStyle w:val="BodyText"/>
      </w:pPr>
      <w:r>
        <w:t xml:space="preserve">Senior Banker &amp; Private Wealth Advisor</w:t>
      </w:r>
    </w:p>
    <w:p>
      <w:pPr>
        <w:pStyle w:val="BodyText"/>
      </w:pPr>
      <w:r>
        <w:t xml:space="preserve">Cabinet Bancaire Moreau &amp; Associés</w:t>
      </w:r>
    </w:p>
    <w:p>
      <w:pPr>
        <w:pStyle w:val="BodyText"/>
      </w:pPr>
      <w:r>
        <w:t xml:space="preserve">14 Rue de la République</w:t>
      </w:r>
    </w:p>
    <w:p>
      <w:pPr>
        <w:pStyle w:val="BodyText"/>
      </w:pPr>
      <w:r>
        <w:t xml:space="preserve">69002 Lyon, France</w:t>
      </w:r>
    </w:p>
    <w:p>
      <w:pPr>
        <w:pStyle w:val="BodyText"/>
      </w:pPr>
      <w:r>
        <w:t xml:space="preserve">Tel: +33 4 72 00 00 00</w:t>
      </w:r>
    </w:p>
    <w:p>
      <w:pPr>
        <w:pStyle w:val="BodyText"/>
      </w:pPr>
      <w:r>
        <w:t xml:space="preserve">Email: p.moreau@cabinetmoreau.fr</w:t>
      </w:r>
    </w:p>
    <w:p>
      <w:pPr>
        <w:pStyle w:val="BodyText"/>
      </w:pPr>
      <w:r>
        <w:t xml:space="preserve">SIRET: 842 567 891 00021</w:t>
      </w:r>
    </w:p>
    <w:p>
      <w:pPr>
        <w:pStyle w:val="BodyText"/>
      </w:pPr>
      <w:r>
        <w:t xml:space="preserve">ACPR Registration: FR-2019-BNK-04471</w:t>
      </w:r>
    </w:p>
    <w:bookmarkEnd w:id="20"/>
    <w:bookmarkStart w:id="21" w:name="issued-to-the-client"/>
    <w:p>
      <w:pPr>
        <w:pStyle w:val="Heading3"/>
      </w:pPr>
      <w:r>
        <w:t xml:space="preserve">Issued To (The Client)</w:t>
      </w:r>
    </w:p>
    <w:p>
      <w:pPr>
        <w:pStyle w:val="FirstParagraph"/>
      </w:pPr>
      <w:r>
        <w:rPr>
          <w:bCs/>
          <w:b/>
        </w:rPr>
        <w:t xml:space="preserve">Madame Claire Dubois</w:t>
      </w:r>
    </w:p>
    <w:p>
      <w:pPr>
        <w:pStyle w:val="BodyText"/>
      </w:pPr>
      <w:r>
        <w:t xml:space="preserve">Managing Director</w:t>
      </w:r>
    </w:p>
    <w:p>
      <w:pPr>
        <w:pStyle w:val="BodyText"/>
      </w:pPr>
      <w:r>
        <w:t xml:space="preserve">Dubois &amp; Fils Industries SARL</w:t>
      </w:r>
    </w:p>
    <w:p>
      <w:pPr>
        <w:pStyle w:val="BodyText"/>
      </w:pPr>
      <w:r>
        <w:t xml:space="preserve">28 Avenue Jean Jaurés</w:t>
      </w:r>
    </w:p>
    <w:p>
      <w:pPr>
        <w:pStyle w:val="BodyText"/>
      </w:pPr>
      <w:r>
        <w:t xml:space="preserve">69007 Lyon, France</w:t>
      </w:r>
    </w:p>
    <w:p>
      <w:pPr>
        <w:pStyle w:val="BodyText"/>
      </w:pPr>
      <w:r>
        <w:t xml:space="preserve">Tel: +33 4 78 00 00 00</w:t>
      </w:r>
    </w:p>
    <w:p>
      <w:pPr>
        <w:pStyle w:val="BodyText"/>
      </w:pPr>
      <w:r>
        <w:t xml:space="preserve">Email: c.dubois@duboisfils.fr</w:t>
      </w:r>
    </w:p>
    <w:p>
      <w:pPr>
        <w:pStyle w:val="BodyText"/>
      </w:pPr>
      <w:r>
        <w:t xml:space="preserve">SIRET: 512 345 678 00014</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INV-2025-LYO-00847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Service Period:</w:t>
            </w:r>
          </w:p>
        </w:tc>
        <w:tc>
          <w:tcPr/>
          <w:p>
            <w:pPr>
              <w:pStyle w:val="Compact"/>
              <w:jc w:val="left"/>
            </w:pPr>
            <w:r>
              <w:t xml:space="preserve">1 June 2025 – 30 June 2025</w:t>
            </w:r>
          </w:p>
        </w:tc>
      </w:tr>
      <w:tr>
        <w:tc>
          <w:tcPr/>
          <w:p>
            <w:pPr>
              <w:pStyle w:val="Compact"/>
              <w:jc w:val="left"/>
            </w:pPr>
            <w:r>
              <w:t xml:space="preserve">Payment Due Date:</w:t>
            </w:r>
          </w:p>
        </w:tc>
        <w:tc>
          <w:tcPr/>
          <w:p>
            <w:pPr>
              <w:pStyle w:val="Compact"/>
              <w:jc w:val="left"/>
            </w:pPr>
            <w:r>
              <w:t xml:space="preserve">15 July 2025 (30 days from issue)</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Method:</w:t>
            </w:r>
          </w:p>
        </w:tc>
        <w:tc>
          <w:tcPr/>
          <w:p>
            <w:pPr>
              <w:pStyle w:val="Compact"/>
              <w:jc w:val="left"/>
            </w:pPr>
            <w:r>
              <w:t xml:space="preserve">Bank Transfer (Virement Bancaire)</w:t>
            </w:r>
          </w:p>
        </w:tc>
      </w:tr>
      <w:tr>
        <w:tc>
          <w:tcPr/>
          <w:p>
            <w:pPr>
              <w:pStyle w:val="Compact"/>
              <w:jc w:val="left"/>
            </w:pPr>
            <w:r>
              <w:t xml:space="preserve">IBAN:</w:t>
            </w:r>
          </w:p>
        </w:tc>
        <w:tc>
          <w:tcPr/>
          <w:p>
            <w:pPr>
              <w:pStyle w:val="Compact"/>
              <w:jc w:val="left"/>
            </w:pPr>
            <w:r>
              <w:t xml:space="preserve">FR76 3000 4000 0312 3456 7890 123</w:t>
            </w:r>
          </w:p>
        </w:tc>
      </w:tr>
      <w:tr>
        <w:tc>
          <w:tcPr/>
          <w:p>
            <w:pPr>
              <w:pStyle w:val="Compact"/>
              <w:jc w:val="left"/>
            </w:pPr>
            <w:r>
              <w:t xml:space="preserve">BIC/SWIFT:</w:t>
            </w:r>
          </w:p>
        </w:tc>
        <w:tc>
          <w:tcPr/>
          <w:p>
            <w:pPr>
              <w:pStyle w:val="Compact"/>
              <w:jc w:val="left"/>
            </w:pPr>
            <w:r>
              <w:t xml:space="preserve">BNPAFRPPXXX</w:t>
            </w:r>
          </w:p>
        </w:tc>
      </w:tr>
    </w:tbl>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Banking &amp; Advisory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corporate banking account restructuring and liquidity management review for Dubois &amp; Fils Industries, conducted by the assigned Banker at the Lyon headquarters office.</w:t>
            </w:r>
          </w:p>
        </w:tc>
        <w:tc>
          <w:tcPr/>
          <w:p>
            <w:pPr>
              <w:pStyle w:val="Compact"/>
              <w:jc w:val="left"/>
            </w:pPr>
            <w:r>
              <w:t xml:space="preserve">12 hrs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Preparation and negotiation of a syndicated credit facility (12-month revolving loan) with three partner banks in the Lyon financial district, including all legal documentation and compliance filings.</w:t>
            </w:r>
          </w:p>
        </w:tc>
        <w:tc>
          <w:tcPr/>
          <w:p>
            <w:pPr>
              <w:pStyle w:val="Compact"/>
              <w:jc w:val="left"/>
            </w:pPr>
            <w:r>
              <w:t xml:space="preserve">20 hrs</w:t>
            </w:r>
          </w:p>
        </w:tc>
        <w:tc>
          <w:tcPr/>
          <w:p>
            <w:pPr>
              <w:pStyle w:val="Compact"/>
              <w:jc w:val="left"/>
            </w:pPr>
            <w:r>
              <w:t xml:space="preserve">195.00</w:t>
            </w:r>
          </w:p>
        </w:tc>
        <w:tc>
          <w:tcPr/>
          <w:p>
            <w:pPr>
              <w:pStyle w:val="Compact"/>
              <w:jc w:val="left"/>
            </w:pPr>
            <w:r>
              <w:t xml:space="preserve">3,900.00</w:t>
            </w:r>
          </w:p>
        </w:tc>
      </w:tr>
      <w:tr>
        <w:tc>
          <w:tcPr/>
          <w:p>
            <w:pPr>
              <w:pStyle w:val="Compact"/>
              <w:jc w:val="left"/>
            </w:pPr>
            <w:r>
              <w:t xml:space="preserve">03</w:t>
            </w:r>
          </w:p>
        </w:tc>
        <w:tc>
          <w:tcPr/>
          <w:p>
            <w:pPr>
              <w:pStyle w:val="Compact"/>
              <w:jc w:val="left"/>
            </w:pPr>
            <w:r>
              <w:t xml:space="preserve">Quarterly portfolio performance analysis and rebalancing recommendations for the corporate treasury investment mandate, including FX hedging strategies for EUR/USD and EUR/GBP exposure.</w:t>
            </w:r>
          </w:p>
        </w:tc>
        <w:tc>
          <w:tcPr/>
          <w:p>
            <w:pPr>
              <w:pStyle w:val="Compact"/>
              <w:jc w:val="left"/>
            </w:pPr>
            <w:r>
              <w:t xml:space="preserve">8 hrs</w:t>
            </w:r>
          </w:p>
        </w:tc>
        <w:tc>
          <w:tcPr/>
          <w:p>
            <w:pPr>
              <w:pStyle w:val="Compact"/>
              <w:jc w:val="left"/>
            </w:pPr>
            <w:r>
              <w:t xml:space="preserve">175.00</w:t>
            </w:r>
          </w:p>
        </w:tc>
        <w:tc>
          <w:tcPr/>
          <w:p>
            <w:pPr>
              <w:pStyle w:val="Compact"/>
              <w:jc w:val="left"/>
            </w:pPr>
            <w:r>
              <w:t xml:space="preserve">1,400.00</w:t>
            </w:r>
          </w:p>
        </w:tc>
      </w:tr>
      <w:tr>
        <w:tc>
          <w:tcPr/>
          <w:p>
            <w:pPr>
              <w:pStyle w:val="Compact"/>
              <w:jc w:val="left"/>
            </w:pPr>
            <w:r>
              <w:t xml:space="preserve">04</w:t>
            </w:r>
          </w:p>
        </w:tc>
        <w:tc>
          <w:tcPr/>
          <w:p>
            <w:pPr>
              <w:pStyle w:val="Compact"/>
              <w:jc w:val="left"/>
            </w:pPr>
            <w:r>
              <w:t xml:space="preserve">Regulatory compliance audit and ACPR reporting preparation in accordance with French banking law (Code monétaire et financier) and EU MiFID II directives, performed by the Banker and his compliance team in Lyon.</w:t>
            </w:r>
          </w:p>
        </w:tc>
        <w:tc>
          <w:tcPr/>
          <w:p>
            <w:pPr>
              <w:pStyle w:val="Compact"/>
              <w:jc w:val="left"/>
            </w:pPr>
            <w:r>
              <w:t xml:space="preserve">10 hrs</w:t>
            </w:r>
          </w:p>
        </w:tc>
        <w:tc>
          <w:tcPr/>
          <w:p>
            <w:pPr>
              <w:pStyle w:val="Compact"/>
              <w:jc w:val="left"/>
            </w:pPr>
            <w:r>
              <w:t xml:space="preserve">200.00</w:t>
            </w:r>
          </w:p>
        </w:tc>
        <w:tc>
          <w:tcPr/>
          <w:p>
            <w:pPr>
              <w:pStyle w:val="Compact"/>
              <w:jc w:val="left"/>
            </w:pPr>
            <w:r>
              <w:t xml:space="preserve">2,000.00</w:t>
            </w:r>
          </w:p>
        </w:tc>
      </w:tr>
      <w:tr>
        <w:tc>
          <w:tcPr/>
          <w:p>
            <w:pPr>
              <w:pStyle w:val="Compact"/>
              <w:jc w:val="left"/>
            </w:pPr>
            <w:r>
              <w:t xml:space="preserve">05</w:t>
            </w:r>
          </w:p>
        </w:tc>
        <w:tc>
          <w:tcPr/>
          <w:p>
            <w:pPr>
              <w:pStyle w:val="Compact"/>
              <w:jc w:val="left"/>
            </w:pPr>
            <w:r>
              <w:t xml:space="preserve">Advisory session on international trade finance instruments (letters of credit, documentary collections) for the client’s export operations to North America and Southeast Asia, facilitated by the Banker’s trade finance desk.</w:t>
            </w:r>
          </w:p>
        </w:tc>
        <w:tc>
          <w:tcPr/>
          <w:p>
            <w:pPr>
              <w:pStyle w:val="Compact"/>
              <w:jc w:val="left"/>
            </w:pPr>
            <w:r>
              <w:t xml:space="preserve">6 hrs</w:t>
            </w:r>
          </w:p>
        </w:tc>
        <w:tc>
          <w:tcPr/>
          <w:p>
            <w:pPr>
              <w:pStyle w:val="Compact"/>
              <w:jc w:val="left"/>
            </w:pPr>
            <w:r>
              <w:t xml:space="preserve">190.00</w:t>
            </w:r>
          </w:p>
        </w:tc>
        <w:tc>
          <w:tcPr/>
          <w:p>
            <w:pPr>
              <w:pStyle w:val="Compact"/>
              <w:jc w:val="left"/>
            </w:pPr>
            <w:r>
              <w:t xml:space="preserve">1,140.00</w:t>
            </w:r>
          </w:p>
        </w:tc>
      </w:tr>
      <w:tr>
        <w:tc>
          <w:tcPr/>
          <w:p>
            <w:pPr>
              <w:pStyle w:val="Compact"/>
              <w:jc w:val="left"/>
            </w:pPr>
            <w:r>
              <w:t xml:space="preserve">06</w:t>
            </w:r>
          </w:p>
        </w:tc>
        <w:tc>
          <w:tcPr/>
          <w:p>
            <w:pPr>
              <w:pStyle w:val="Compact"/>
              <w:jc w:val="left"/>
            </w:pPr>
            <w:r>
              <w:t xml:space="preserve">On-site financial planning workshop at the client’s Lyon premises covering succession planning, pension fund optimization, and tax-efficient wealth structuring under French fiscal code provisions.</w:t>
            </w:r>
          </w:p>
        </w:tc>
        <w:tc>
          <w:tcPr/>
          <w:p>
            <w:pPr>
              <w:pStyle w:val="Compact"/>
              <w:jc w:val="left"/>
            </w:pPr>
            <w:r>
              <w:t xml:space="preserve">4 hrs</w:t>
            </w:r>
          </w:p>
        </w:tc>
        <w:tc>
          <w:tcPr/>
          <w:p>
            <w:pPr>
              <w:pStyle w:val="Compact"/>
              <w:jc w:val="left"/>
            </w:pPr>
            <w:r>
              <w:t xml:space="preserve">210.00</w:t>
            </w:r>
          </w:p>
        </w:tc>
        <w:tc>
          <w:tcPr/>
          <w:p>
            <w:pPr>
              <w:pStyle w:val="Compact"/>
              <w:jc w:val="left"/>
            </w:pPr>
            <w:r>
              <w:t xml:space="preserve">840.00</w:t>
            </w:r>
          </w:p>
        </w:tc>
      </w:tr>
      <w:tr>
        <w:tc>
          <w:tcPr/>
          <w:p>
            <w:pPr>
              <w:pStyle w:val="Compact"/>
              <w:jc w:val="left"/>
            </w:pPr>
            <w:r>
              <w:t xml:space="preserve">07</w:t>
            </w:r>
          </w:p>
        </w:tc>
        <w:tc>
          <w:tcPr/>
          <w:p>
            <w:pPr>
              <w:pStyle w:val="Compact"/>
              <w:jc w:val="left"/>
            </w:pPr>
            <w:r>
              <w:t xml:space="preserve">Administrative fees: document preparation, secure data transmission, and filing of all banking correspondence related to this Invoice period.</w:t>
            </w:r>
          </w:p>
        </w:tc>
        <w:tc>
          <w:tcPr/>
          <w:p>
            <w:pPr>
              <w:pStyle w:val="Compact"/>
              <w:jc w:val="left"/>
            </w:pPr>
            <w:r>
              <w:t xml:space="preserve">Flat fee</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Rendered)</w:t>
            </w:r>
          </w:p>
        </w:tc>
        <w:tc>
          <w:tcPr/>
          <w:p>
            <w:pPr>
              <w:pStyle w:val="Compact"/>
              <w:jc w:val="left"/>
            </w:pPr>
            <w:r>
              <w:t xml:space="preserve">11,850.00 EUR</w:t>
            </w:r>
          </w:p>
        </w:tc>
      </w:tr>
      <w:tr>
        <w:tc>
          <w:tcPr/>
          <w:p>
            <w:pPr>
              <w:pStyle w:val="Compact"/>
              <w:jc w:val="left"/>
            </w:pPr>
            <w:r>
              <w:t xml:space="preserve">VAT (TVA) — 20% (French standard rate)</w:t>
            </w:r>
          </w:p>
        </w:tc>
        <w:tc>
          <w:tcPr/>
          <w:p>
            <w:pPr>
              <w:pStyle w:val="Compact"/>
              <w:jc w:val="left"/>
            </w:pPr>
            <w:r>
              <w:t xml:space="preserve">2,370.00 EUR</w:t>
            </w:r>
          </w:p>
        </w:tc>
      </w:tr>
      <w:tr>
        <w:tc>
          <w:tcPr/>
          <w:p>
            <w:pPr>
              <w:pStyle w:val="Compact"/>
              <w:jc w:val="left"/>
            </w:pPr>
            <w:r>
              <w:t xml:space="preserve">Grand Total Due</w:t>
            </w:r>
          </w:p>
        </w:tc>
        <w:tc>
          <w:tcPr/>
          <w:p>
            <w:pPr>
              <w:pStyle w:val="Compact"/>
              <w:jc w:val="left"/>
            </w:pPr>
            <w:r>
              <w:t xml:space="preserve">14,220.00 EUR</w:t>
            </w:r>
          </w:p>
        </w:tc>
      </w:tr>
    </w:tbl>
    <w:bookmarkStart w:id="22" w:name="terms-conditions-notes"/>
    <w:p>
      <w:pPr>
        <w:pStyle w:val="Heading3"/>
      </w:pPr>
      <w:r>
        <w:t xml:space="preserve">Terms, Conditions &amp; Notes</w:t>
      </w:r>
    </w:p>
    <w:p>
      <w:pPr>
        <w:pStyle w:val="FirstParagraph"/>
      </w:pPr>
      <w:r>
        <w:t xml:space="preserve">This Invoice is issued by the undersigned Banker, Philippe Moreau, operating under the professional license granted by the Autorité de contr&amp;ocircle prudentiel et de résolution (ACPR) and registered with the Ordre des Experts-Comptables de Lyon. All services described herein were rendered in accordance with the professional standards governing banking and financial advisory practice in France Lyon and the broader Auvergne-Rhône-Alpes region.</w:t>
      </w:r>
    </w:p>
    <w:p>
      <w:pPr>
        <w:pStyle w:val="BodyText"/>
      </w:pPr>
      <w:r>
        <w:t xml:space="preserve">The Banker warrants that all advisory services, credit negotiations, and compliance work detailed in this Invoice were performed with the requisite diligence, confidentiality, and fiduciary care expected under French banking regulations and the contractual engagement letter dated 1 January 2025.</w:t>
      </w:r>
    </w:p>
    <w:p>
      <w:pPr>
        <w:numPr>
          <w:ilvl w:val="0"/>
          <w:numId w:val="1001"/>
        </w:numPr>
        <w:pStyle w:val="Compact"/>
      </w:pPr>
      <w:r>
        <w:rPr>
          <w:bCs/>
          <w:b/>
        </w:rPr>
        <w:t xml:space="preserve">Payment Terms:</w:t>
      </w:r>
      <w:r>
        <w:t xml:space="preserve"> </w:t>
      </w:r>
      <w:r>
        <w:t xml:space="preserve">Full payment of this Invoice is due within thirty (30) calendar days of the date of issue. Payment must be made via bank transfer to the IBAN specified above. Late payments shall accrue interest at a rate of 1.5% per month in accordance with Article L441-10 of the French Commercial Code.</w:t>
      </w:r>
    </w:p>
    <w:p>
      <w:pPr>
        <w:numPr>
          <w:ilvl w:val="0"/>
          <w:numId w:val="1001"/>
        </w:numPr>
        <w:pStyle w:val="Compact"/>
      </w:pPr>
      <w:r>
        <w:rPr>
          <w:bCs/>
          <w:b/>
        </w:rPr>
        <w:t xml:space="preserve">Confidentiality:</w:t>
      </w:r>
      <w:r>
        <w:t xml:space="preserve"> </w:t>
      </w:r>
      <w:r>
        <w:t xml:space="preserve">The Banker and his firm are bound by strict professional secrecy (secret professionnel) as defined in Article L511-33 of the French Monetary and Financial Code. No information contained in this Invoice or in the underlying service engagements shall be disclosed to third parties without the written consent of the client.</w:t>
      </w:r>
    </w:p>
    <w:p>
      <w:pPr>
        <w:numPr>
          <w:ilvl w:val="0"/>
          <w:numId w:val="1001"/>
        </w:numPr>
        <w:pStyle w:val="Compact"/>
      </w:pPr>
      <w:r>
        <w:rPr>
          <w:bCs/>
          <w:b/>
        </w:rPr>
        <w:t xml:space="preserve">Dispute Resolution:</w:t>
      </w:r>
      <w:r>
        <w:t xml:space="preserve"> </w:t>
      </w:r>
      <w:r>
        <w:t xml:space="preserve">Any dispute arising from this Invoice or the services rendered shall first be subject to amicable negotiation between the Banker and the client. Failing resolution within sixty days, the matter shall be submitted to the competent commercial court of Lyon (Tribunal de Commerce de Lyon) or, at the client’s election, to the financial mediation body (Médiateur du crédit) established under French law.</w:t>
      </w:r>
    </w:p>
    <w:p>
      <w:pPr>
        <w:numPr>
          <w:ilvl w:val="0"/>
          <w:numId w:val="1001"/>
        </w:numPr>
        <w:pStyle w:val="Compact"/>
      </w:pPr>
      <w:r>
        <w:rPr>
          <w:bCs/>
          <w:b/>
        </w:rPr>
        <w:t xml:space="preserve">Regulatory Compliance:</w:t>
      </w:r>
      <w:r>
        <w:t xml:space="preserve"> </w:t>
      </w:r>
      <w:r>
        <w:t xml:space="preserve">All services invoiced herein comply with the applicable provisions of the Code monétaire et financier, the regulations of the European Central Bank, and the anti-money-laundering directives transposed into French law (Loi n° 2016-1691 du 9 décembre 2016).</w:t>
      </w:r>
    </w:p>
    <w:p>
      <w:pPr>
        <w:numPr>
          <w:ilvl w:val="0"/>
          <w:numId w:val="1001"/>
        </w:numPr>
        <w:pStyle w:val="Compact"/>
      </w:pPr>
      <w:r>
        <w:rPr>
          <w:bCs/>
          <w:b/>
        </w:rPr>
        <w:t xml:space="preserve">Invoice Validity:</w:t>
      </w:r>
      <w:r>
        <w:t xml:space="preserve"> </w:t>
      </w:r>
      <w:r>
        <w:t xml:space="preserve">This Invoice is valid for a period of three (3) years from the date of issue, in compliance with French accounting retention requirements (Article L123-22 du Code de commerce).</w:t>
      </w:r>
    </w:p>
    <w:p>
      <w:pPr>
        <w:pStyle w:val="FirstParagraph"/>
      </w:pPr>
      <w:r>
        <w:t xml:space="preserve">The Banker extends his sincere gratitude to Madame Dubois and the team at Dubois &amp; Fils Industries for their continued trust in the professional services provided from our Lyon office. We remain at your full disposal for any clarification regarding this Invoice or for the scheduling of future banking and advisory engagements in France Lyon.</w:t>
      </w:r>
    </w:p>
    <w:bookmarkEnd w:id="22"/>
    <w:p>
      <w:pPr>
        <w:pStyle w:val="BodyText"/>
      </w:pPr>
      <w:r>
        <w:rPr>
          <w:bCs/>
          <w:b/>
        </w:rPr>
        <w:t xml:space="preserve">Cabinet Bancaire Moreau &amp; Associés</w:t>
      </w:r>
      <w:r>
        <w:t xml:space="preserve"> </w:t>
      </w:r>
      <w:r>
        <w:t xml:space="preserve">— 14 Rue de la République, 69002 Lyon, France</w:t>
      </w:r>
    </w:p>
    <w:p>
      <w:pPr>
        <w:pStyle w:val="BodyText"/>
      </w:pPr>
      <w:r>
        <w:t xml:space="preserve">Registered with the ACPR — SIRET 842 567 891 00021 — TVA Intracommunautaire: FR 48 842567891</w:t>
      </w:r>
    </w:p>
    <w:p>
      <w:pPr>
        <w:pStyle w:val="BodyText"/>
      </w:pPr>
      <w:r>
        <w:t xml:space="preserve">This Invoice was generated electronically and is valid without signature under Article 1369 of the French Civil Code.</w:t>
      </w:r>
    </w:p>
    <w:p>
      <w:pPr>
        <w:pStyle w:val="BodyText"/>
      </w:pPr>
      <w:r>
        <w:t xml:space="preserve">© 2025 Cabinet Bancaire Moreau &amp; Associés. All rights reserved.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France Lyon</dc:title>
  <dc:creator/>
  <dc:language>en</dc:language>
  <cp:keywords/>
  <dcterms:created xsi:type="dcterms:W3CDTF">2026-10-10T09:53:02Z</dcterms:created>
  <dcterms:modified xsi:type="dcterms:W3CDTF">2026-10-10T09:53:02Z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