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la-banque-du-port-de-marseille"/>
    <w:p>
      <w:pPr>
        <w:pStyle w:val="Heading1"/>
      </w:pPr>
      <w:r>
        <w:t xml:space="preserve">La Banque du Port de Marseille</w:t>
      </w:r>
    </w:p>
    <w:p>
      <w:pPr>
        <w:pStyle w:val="FirstParagraph"/>
      </w:pPr>
      <w:r>
        <w:t xml:space="preserve">Private Banking &amp; Financial Advisory Services</w:t>
      </w:r>
    </w:p>
    <w:p>
      <w:pPr>
        <w:pStyle w:val="BodyText"/>
      </w:pPr>
      <w:r>
        <w:t xml:space="preserve">12 Quai de Rive Neuve, 13007 Marseille, France</w:t>
      </w:r>
    </w:p>
    <w:p>
      <w:pPr>
        <w:pStyle w:val="BodyText"/>
      </w:pPr>
      <w:r>
        <w:t xml:space="preserve">Tel: +33 (0)4 91 55 22 88 | Email: contact@banqueportmarseille.fr</w:t>
      </w:r>
    </w:p>
    <w:p>
      <w:pPr>
        <w:pStyle w:val="BodyText"/>
      </w:pPr>
      <w:r>
        <w:t xml:space="preserve">SIRET: 842 567 123 00019 | RCS Marseille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INV-2025-MRS-0487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to-client"/>
    <w:p>
      <w:pPr>
        <w:pStyle w:val="Heading3"/>
      </w:pPr>
      <w:r>
        <w:t xml:space="preserve">Bill To (Client)</w:t>
      </w:r>
    </w:p>
    <w:p>
      <w:pPr>
        <w:pStyle w:val="FirstParagraph"/>
      </w:pPr>
      <w:r>
        <w:rPr>
          <w:bCs/>
          <w:b/>
        </w:rPr>
        <w:t xml:space="preserve">M. Jean-Pierre Delacroix</w:t>
      </w:r>
    </w:p>
    <w:p>
      <w:pPr>
        <w:pStyle w:val="BodyText"/>
      </w:pPr>
      <w:r>
        <w:t xml:space="preserve">Delacroix Holdings SARL</w:t>
      </w:r>
    </w:p>
    <w:p>
      <w:pPr>
        <w:pStyle w:val="BodyText"/>
      </w:pPr>
      <w:r>
        <w:t xml:space="preserve">45 Boulevard Longchamp</w:t>
      </w:r>
    </w:p>
    <w:p>
      <w:pPr>
        <w:pStyle w:val="BodyText"/>
      </w:pPr>
      <w:r>
        <w:t xml:space="preserve">13001 Marseille, France</w:t>
      </w:r>
    </w:p>
    <w:p>
      <w:pPr>
        <w:pStyle w:val="BodyText"/>
      </w:pPr>
      <w:r>
        <w:t xml:space="preserve">SIRET: 721 334 556 00021</w:t>
      </w:r>
    </w:p>
    <w:p>
      <w:pPr>
        <w:pStyle w:val="BodyText"/>
      </w:pPr>
      <w:r>
        <w:t xml:space="preserve">TVA Intracommunautaire: FR 48 721334556</w:t>
      </w:r>
    </w:p>
    <w:bookmarkEnd w:id="22"/>
    <w:bookmarkStart w:id="23" w:name="banker-service-provider"/>
    <w:p>
      <w:pPr>
        <w:pStyle w:val="Heading3"/>
      </w:pPr>
      <w:r>
        <w:t xml:space="preserve">Banker / Service Provider</w:t>
      </w:r>
    </w:p>
    <w:p>
      <w:pPr>
        <w:pStyle w:val="FirstParagraph"/>
      </w:pPr>
      <w:r>
        <w:rPr>
          <w:bCs/>
          <w:b/>
        </w:rPr>
        <w:t xml:space="preserve">Mme. Claire Fontaine, CFA, CFP</w:t>
      </w:r>
    </w:p>
    <w:p>
      <w:pPr>
        <w:pStyle w:val="BodyText"/>
      </w:pPr>
      <w:r>
        <w:t xml:space="preserve">Senior Private Banker &amp; Portfolio Advisor</w:t>
      </w:r>
    </w:p>
    <w:p>
      <w:pPr>
        <w:pStyle w:val="BodyText"/>
      </w:pPr>
      <w:r>
        <w:t xml:space="preserve">La Banque du Port de Marseille</w:t>
      </w:r>
    </w:p>
    <w:p>
      <w:pPr>
        <w:pStyle w:val="BodyText"/>
      </w:pPr>
      <w:r>
        <w:t xml:space="preserve">12 Quai de Rive Neuve, 13007 Marseille</w:t>
      </w:r>
    </w:p>
    <w:p>
      <w:pPr>
        <w:pStyle w:val="BodyText"/>
      </w:pPr>
      <w:r>
        <w:t xml:space="preserve">Professional License: ACPR Reg. No. 2019-BK-4471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Banking Services</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Qty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portfolio management and asset allocation strategy for Delacroix Holdings SARL, including quarterly rebalancing of equities, fixed-income instruments, and alternative investments held through the Marseille-based private banking desk.</w:t>
            </w:r>
          </w:p>
        </w:tc>
        <w:tc>
          <w:tcPr/>
          <w:p>
            <w:pPr>
              <w:pStyle w:val="Compact"/>
              <w:jc w:val="left"/>
            </w:pPr>
            <w:r>
              <w:t xml:space="preserve">Q2 2025</w:t>
            </w:r>
          </w:p>
        </w:tc>
        <w:tc>
          <w:tcPr/>
          <w:p>
            <w:pPr>
              <w:pStyle w:val="Compact"/>
              <w:jc w:val="left"/>
            </w:pPr>
            <w:r>
              <w:t xml:space="preserve">2,450.00</w:t>
            </w:r>
          </w:p>
        </w:tc>
        <w:tc>
          <w:tcPr/>
          <w:p>
            <w:pPr>
              <w:pStyle w:val="Compact"/>
              <w:jc w:val="left"/>
            </w:pPr>
            <w:r>
              <w:t xml:space="preserve">1</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Advisory services for cross-border trade financing related to Mediterranean shipping operations, including letter of credit issuance, documentary collection, and foreign exchange hedging strategies executed from the Marseille port financial district.</w:t>
            </w:r>
          </w:p>
        </w:tc>
        <w:tc>
          <w:tcPr/>
          <w:p>
            <w:pPr>
              <w:pStyle w:val="Compact"/>
              <w:jc w:val="left"/>
            </w:pPr>
            <w:r>
              <w:t xml:space="preserve">Apr–Jun 2025</w:t>
            </w:r>
          </w:p>
        </w:tc>
        <w:tc>
          <w:tcPr/>
          <w:p>
            <w:pPr>
              <w:pStyle w:val="Compact"/>
              <w:jc w:val="left"/>
            </w:pPr>
            <w:r>
              <w:t xml:space="preserve">1,875.00</w:t>
            </w:r>
          </w:p>
        </w:tc>
        <w:tc>
          <w:tcPr/>
          <w:p>
            <w:pPr>
              <w:pStyle w:val="Compact"/>
              <w:jc w:val="left"/>
            </w:pPr>
            <w:r>
              <w:t xml:space="preserve">1</w:t>
            </w:r>
          </w:p>
        </w:tc>
        <w:tc>
          <w:tcPr/>
          <w:p>
            <w:pPr>
              <w:pStyle w:val="Compact"/>
              <w:jc w:val="left"/>
            </w:pPr>
            <w:r>
              <w:t xml:space="preserve">1,875.00</w:t>
            </w:r>
          </w:p>
        </w:tc>
      </w:tr>
      <w:tr>
        <w:tc>
          <w:tcPr/>
          <w:p>
            <w:pPr>
              <w:pStyle w:val="Compact"/>
              <w:jc w:val="left"/>
            </w:pPr>
            <w:r>
              <w:t xml:space="preserve">03</w:t>
            </w:r>
          </w:p>
        </w:tc>
        <w:tc>
          <w:tcPr/>
          <w:p>
            <w:pPr>
              <w:pStyle w:val="Compact"/>
              <w:jc w:val="left"/>
            </w:pPr>
            <w:r>
              <w:t xml:space="preserve">Structured wealth planning and estate succession advisory for the Delacroix family trust, incorporating French tax optimization under the Code Général des Impôts, with specific attention to property holdings in the Marseille metropolitan area and the Bouches-du-Rhône department.</w:t>
            </w:r>
          </w:p>
        </w:tc>
        <w:tc>
          <w:tcPr/>
          <w:p>
            <w:pPr>
              <w:pStyle w:val="Compact"/>
              <w:jc w:val="left"/>
            </w:pPr>
            <w:r>
              <w:t xml:space="preserve">Q2 2025</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Credit facility structuring and syndication support for a 4.5 million EUR commercial real estate acquisition project in the Euroméditerranée development zone, Marseille. Includes feasibility analysis, lender negotiation, and ongoing covenant monitoring.</w:t>
            </w:r>
          </w:p>
        </w:tc>
        <w:tc>
          <w:tcPr/>
          <w:p>
            <w:pPr>
              <w:pStyle w:val="Compact"/>
              <w:jc w:val="left"/>
            </w:pPr>
            <w:r>
              <w:t xml:space="preserve">May–Jun 2025</w:t>
            </w:r>
          </w:p>
        </w:tc>
        <w:tc>
          <w:tcPr/>
          <w:p>
            <w:pPr>
              <w:pStyle w:val="Compact"/>
              <w:jc w:val="left"/>
            </w:pPr>
            <w:r>
              <w:t xml:space="preserve">4,600.00</w:t>
            </w:r>
          </w:p>
        </w:tc>
        <w:tc>
          <w:tcPr/>
          <w:p>
            <w:pPr>
              <w:pStyle w:val="Compact"/>
              <w:jc w:val="left"/>
            </w:pPr>
            <w:r>
              <w:t xml:space="preserve">1</w:t>
            </w:r>
          </w:p>
        </w:tc>
        <w:tc>
          <w:tcPr/>
          <w:p>
            <w:pPr>
              <w:pStyle w:val="Compact"/>
              <w:jc w:val="left"/>
            </w:pPr>
            <w:r>
              <w:t xml:space="preserve">4,600.00</w:t>
            </w:r>
          </w:p>
        </w:tc>
      </w:tr>
      <w:tr>
        <w:tc>
          <w:tcPr/>
          <w:p>
            <w:pPr>
              <w:pStyle w:val="Compact"/>
              <w:jc w:val="left"/>
            </w:pPr>
            <w:r>
              <w:t xml:space="preserve">05</w:t>
            </w:r>
          </w:p>
        </w:tc>
        <w:tc>
          <w:tcPr/>
          <w:p>
            <w:pPr>
              <w:pStyle w:val="Compact"/>
              <w:jc w:val="left"/>
            </w:pPr>
            <w:r>
              <w:t xml:space="preserve">Monthly cash flow management, treasury operations, and multi-currency account administration for the client's operating accounts maintained at the Marseille branch, including automated sweep arrangements and liquidity forecasting.</w:t>
            </w:r>
          </w:p>
        </w:tc>
        <w:tc>
          <w:tcPr/>
          <w:p>
            <w:pPr>
              <w:pStyle w:val="Compact"/>
              <w:jc w:val="left"/>
            </w:pPr>
            <w:r>
              <w:t xml:space="preserve">Apr–Jun 2025</w:t>
            </w:r>
          </w:p>
        </w:tc>
        <w:tc>
          <w:tcPr/>
          <w:p>
            <w:pPr>
              <w:pStyle w:val="Compact"/>
              <w:jc w:val="left"/>
            </w:pPr>
            <w:r>
              <w:t xml:space="preserve">650.00</w:t>
            </w:r>
          </w:p>
        </w:tc>
        <w:tc>
          <w:tcPr/>
          <w:p>
            <w:pPr>
              <w:pStyle w:val="Compact"/>
              <w:jc w:val="left"/>
            </w:pPr>
            <w:r>
              <w:t xml:space="preserve">3</w:t>
            </w:r>
          </w:p>
        </w:tc>
        <w:tc>
          <w:tcPr/>
          <w:p>
            <w:pPr>
              <w:pStyle w:val="Compact"/>
              <w:jc w:val="left"/>
            </w:pPr>
            <w:r>
              <w:t xml:space="preserve">1,950.00</w:t>
            </w:r>
          </w:p>
        </w:tc>
      </w:tr>
      <w:tr>
        <w:tc>
          <w:tcPr/>
          <w:p>
            <w:pPr>
              <w:pStyle w:val="Compact"/>
              <w:jc w:val="left"/>
            </w:pPr>
            <w:r>
              <w:t xml:space="preserve">06</w:t>
            </w:r>
          </w:p>
        </w:tc>
        <w:tc>
          <w:tcPr/>
          <w:p>
            <w:pPr>
              <w:pStyle w:val="Compact"/>
              <w:jc w:val="left"/>
            </w:pPr>
            <w:r>
              <w:t xml:space="preserve">Regulatory compliance review and anti-money laundering (AML) due diligence reporting in accordance with the French Autorité de Contrôle Prudentiel et de Résolution (ACPR) guidelines and EU Directive 2018/843, as applied to the client's banking relationship in Marseille.</w:t>
            </w:r>
          </w:p>
        </w:tc>
        <w:tc>
          <w:tcPr/>
          <w:p>
            <w:pPr>
              <w:pStyle w:val="Compact"/>
              <w:jc w:val="left"/>
            </w:pPr>
            <w:r>
              <w:t xml:space="preserve">Q2 2025</w:t>
            </w:r>
          </w:p>
        </w:tc>
        <w:tc>
          <w:tcPr/>
          <w:p>
            <w:pPr>
              <w:pStyle w:val="Compact"/>
              <w:jc w:val="left"/>
            </w:pPr>
            <w:r>
              <w:t xml:space="preserve">980.00</w:t>
            </w:r>
          </w:p>
        </w:tc>
        <w:tc>
          <w:tcPr/>
          <w:p>
            <w:pPr>
              <w:pStyle w:val="Compact"/>
              <w:jc w:val="left"/>
            </w:pPr>
            <w:r>
              <w:t xml:space="preserve">1</w:t>
            </w:r>
          </w:p>
        </w:tc>
        <w:tc>
          <w:tcPr/>
          <w:p>
            <w:pPr>
              <w:pStyle w:val="Compact"/>
              <w:jc w:val="left"/>
            </w:pPr>
            <w:r>
              <w:t xml:space="preserve">980.00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15,055.00</w:t>
            </w:r>
          </w:p>
        </w:tc>
      </w:tr>
      <w:tr>
        <w:tc>
          <w:tcPr/>
          <w:p>
            <w:pPr>
              <w:pStyle w:val="Compact"/>
              <w:jc w:val="left"/>
            </w:pPr>
            <w:r>
              <w:t xml:space="preserve">VAT (TVA) – 20% (French Standard Rate)</w:t>
            </w:r>
          </w:p>
        </w:tc>
        <w:tc>
          <w:tcPr/>
          <w:p>
            <w:pPr>
              <w:pStyle w:val="Compact"/>
              <w:jc w:val="left"/>
            </w:pPr>
            <w:r>
              <w:t xml:space="preserve">3,011.00</w:t>
            </w:r>
          </w:p>
        </w:tc>
      </w:tr>
      <w:tr>
        <w:tc>
          <w:tcPr/>
          <w:p>
            <w:pPr>
              <w:pStyle w:val="Compact"/>
              <w:jc w:val="left"/>
            </w:pPr>
            <w:r>
              <w:t xml:space="preserve">Discount – Loyal Client (2%)</w:t>
            </w:r>
          </w:p>
        </w:tc>
        <w:tc>
          <w:tcPr/>
          <w:p>
            <w:pPr>
              <w:pStyle w:val="Compact"/>
              <w:jc w:val="left"/>
            </w:pPr>
            <w:r>
              <w:t xml:space="preserve">-301.10</w:t>
            </w:r>
          </w:p>
        </w:tc>
      </w:tr>
      <w:tr>
        <w:tc>
          <w:tcPr/>
          <w:p>
            <w:pPr>
              <w:pStyle w:val="Compact"/>
              <w:jc w:val="left"/>
            </w:pPr>
            <w:r>
              <w:t xml:space="preserve">Total Amount Due</w:t>
            </w:r>
          </w:p>
        </w:tc>
        <w:tc>
          <w:tcPr/>
          <w:p>
            <w:pPr>
              <w:pStyle w:val="Compact"/>
              <w:jc w:val="left"/>
            </w:pPr>
            <w:r>
              <w:t xml:space="preserve">17,764.90</w:t>
            </w:r>
          </w:p>
        </w:tc>
      </w:tr>
    </w:tbl>
    <w:bookmarkStart w:id="24" w:name="payment-instructions-notes"/>
    <w:p>
      <w:pPr>
        <w:pStyle w:val="Heading3"/>
      </w:pPr>
      <w:r>
        <w:t xml:space="preserve">Payment Instructions &amp; Notes</w:t>
      </w:r>
    </w:p>
    <w:p>
      <w:pPr>
        <w:pStyle w:val="FirstParagraph"/>
      </w:pPr>
      <w:r>
        <w:rPr>
          <w:bCs/>
          <w:b/>
        </w:rPr>
        <w:t xml:space="preserve">Bank Transfer (SEPA):</w:t>
      </w:r>
      <w:r>
        <w:t xml:space="preserve"> </w:t>
      </w:r>
      <w:r>
        <w:t xml:space="preserve">IBAN: FR76 3000 4000 0500 0012 3456 789 | BIC: BNPAFRPPXXX</w:t>
      </w:r>
    </w:p>
    <w:p>
      <w:pPr>
        <w:pStyle w:val="BodyText"/>
      </w:pPr>
      <w:r>
        <w:rPr>
          <w:bCs/>
          <w:b/>
        </w:rPr>
        <w:t xml:space="preserve">Reference:</w:t>
      </w:r>
      <w:r>
        <w:t xml:space="preserve"> </w:t>
      </w:r>
      <w:r>
        <w:t xml:space="preserve">Please cite Invoice No. INV-2025-MRS-0487 in all payment communications.</w:t>
      </w:r>
    </w:p>
    <w:p>
      <w:pPr>
        <w:pStyle w:val="BodyText"/>
      </w:pPr>
      <w:r>
        <w:rPr>
          <w:bCs/>
          <w:b/>
        </w:rPr>
        <w:t xml:space="preserve">Payment Window:</w:t>
      </w:r>
      <w:r>
        <w:t xml:space="preserve"> </w:t>
      </w:r>
      <w:r>
        <w:t xml:space="preserve">Payment is due within thirty (30) calendar days from the date of issuance, in accordance with the French Commercial Code (Code de commerce, Article L441-10). Late payments shall accrue statutory interest at the rate set by the Banque de France.</w:t>
      </w:r>
    </w:p>
    <w:p>
      <w:pPr>
        <w:pStyle w:val="BodyText"/>
      </w:pPr>
      <w:r>
        <w:rPr>
          <w:bCs/>
          <w:b/>
        </w:rPr>
        <w:t xml:space="preserve">Dispute Resolution:</w:t>
      </w:r>
      <w:r>
        <w:t xml:space="preserve"> </w:t>
      </w:r>
      <w:r>
        <w:t xml:space="preserve">Any dispute arising from this invoice shall be subject to the jurisdiction of the Tribunal de Commerce de Marseille, France. The parties agree to attempt amicable resolution before initiating formal legal proceedings.</w:t>
      </w:r>
    </w:p>
    <w:p>
      <w:pPr>
        <w:pStyle w:val="BodyText"/>
      </w:pPr>
      <w:r>
        <w:rPr>
          <w:bCs/>
          <w:b/>
        </w:rPr>
        <w:t xml:space="preserve">Important:</w:t>
      </w:r>
      <w:r>
        <w:t xml:space="preserve"> </w:t>
      </w:r>
      <w:r>
        <w:t xml:space="preserve">This invoice constitutes a formal request for payment for professional banking and financial advisory services rendered by the undersigned banker in Marseille, France. All services were performed in compliance with the regulations of the Autorité des Marchés Financiers (AMF) and the ACPR.</w:t>
      </w:r>
    </w:p>
    <w:bookmarkEnd w:id="24"/>
    <w:bookmarkStart w:id="25" w:name="legal-regulatory-information"/>
    <w:p>
      <w:pPr>
        <w:pStyle w:val="Heading3"/>
      </w:pPr>
      <w:r>
        <w:t xml:space="preserve">Legal &amp; Regulatory Information</w:t>
      </w:r>
    </w:p>
    <w:p>
      <w:pPr>
        <w:pStyle w:val="FirstParagraph"/>
      </w:pPr>
      <w:r>
        <w:t xml:space="preserve">La Banque du Port de Marseille is a credit institution authorized under Article L511-1 of the French Monetary and Financial Code (Code monétaire et financier) and supervised by the Autorité de Contrôle Prudentiel et de Résolution (ACPR), 61 rue Taittinger, 75016 Paris, France.</w:t>
      </w:r>
    </w:p>
    <w:p>
      <w:pPr>
        <w:pStyle w:val="BodyText"/>
      </w:pPr>
      <w:r>
        <w:t xml:space="preserve">The banker named on this invoice, Mme. Claire Fontaine, holds a valid professional card (carte professionnelle) issued by the ACPR and is registered with the Ordre des Experts-Comptables de Marseille. All advisory services described herein were delivered in strict adherence to the MiFID II framework and the French transposition thereof.</w:t>
      </w:r>
    </w:p>
    <w:p>
      <w:pPr>
        <w:pStyle w:val="BodyText"/>
      </w:pPr>
      <w:r>
        <w:t xml:space="preserve">This document is issued in the city of Marseille, Bouches-du-Rhône, Provence-Alpes-Côte d'Azur, France. It is governed by French law. In the event of any discrepancy between the English and French versions of this invoice, the French version shall prevail.</w:t>
      </w:r>
    </w:p>
    <w:p>
      <w:pPr>
        <w:pStyle w:val="BodyText"/>
      </w:pPr>
      <w:r>
        <w:t xml:space="preserve">Client data processed in connection with this invoice is handled in accordance with the General Data Protection Regulation (GDPR) and the French Loi Informatique et Libertés (Law No. 78-17 of 6 January 1978, as amended).</w:t>
      </w:r>
    </w:p>
    <w:bookmarkEnd w:id="25"/>
    <w:p>
      <w:pPr>
        <w:pStyle w:val="BodyText"/>
      </w:pPr>
      <w:r>
        <w:t xml:space="preserve">La Banque du Port de Marseille – 12 Quai de Rive Neuve, 13007 Marseille, France</w:t>
      </w:r>
    </w:p>
    <w:p>
      <w:pPr>
        <w:pStyle w:val="BodyText"/>
      </w:pPr>
      <w:r>
        <w:t xml:space="preserve">SIRET: 842 567 123 00019 | Capital: 12,000,000 EUR | RCS Marseille B 842 567 123</w:t>
      </w:r>
    </w:p>
    <w:p>
      <w:pPr>
        <w:pStyle w:val="BodyText"/>
      </w:pPr>
      <w:r>
        <w:t xml:space="preserve">This invoice was generated electronically and is valid without signature. For authentication, please contact the issuing banker at the Marseille office.</w:t>
      </w:r>
    </w:p>
    <w:p>
      <w:pPr>
        <w:pStyle w:val="BodyText"/>
      </w:pPr>
      <w:r>
        <w:t xml:space="preserve">© 2025 La Banque du Port de Marseille.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Marseille, France</dc:title>
  <dc:creator/>
  <dc:language>en</dc:language>
  <cp:keywords/>
  <dcterms:created xsi:type="dcterms:W3CDTF">2026-10-10T10:21:20Z</dcterms:created>
  <dcterms:modified xsi:type="dcterms:W3CDTF">2026-10-10T10:21:20Z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