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Paris,</w:t>
      </w:r>
      <w:r>
        <w:t xml:space="preserve"> </w:t>
      </w:r>
      <w:r>
        <w:t xml:space="preserve">France</w:t>
      </w:r>
    </w:p>
    <w:p>
      <w:pPr>
        <w:pStyle w:val="FirstParagraph"/>
      </w:pPr>
      <w:r>
        <w:t xml:space="preserve">INVOICE</w:t>
      </w:r>
    </w:p>
    <w:p>
      <w:pPr>
        <w:pStyle w:val="BodyText"/>
      </w:pPr>
      <w:r>
        <w:t xml:space="preserve">BANKING &amp; FINANCIAL SERVICES</w:t>
      </w:r>
    </w:p>
    <w:p>
      <w:pPr>
        <w:pStyle w:val="BodyText"/>
      </w:pPr>
      <w:r>
        <w:rPr>
          <w:bCs/>
          <w:b/>
        </w:rPr>
        <w:t xml:space="preserve">Invoice Number:</w:t>
      </w:r>
      <w:r>
        <w:t xml:space="preserve"> </w:t>
      </w:r>
      <w:r>
        <w:t xml:space="preserve">INV-2025-PAR-04872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FR-PAR-BNK-2025-0614</w:t>
      </w:r>
    </w:p>
    <w:p>
      <w:pPr>
        <w:pStyle w:val="BodyText"/>
      </w:pPr>
      <w:r>
        <w:rPr>
          <w:bCs/>
          <w:b/>
        </w:rPr>
        <w:t xml:space="preserve">Country of Issue:</w:t>
      </w:r>
      <w:r>
        <w:t xml:space="preserve"> </w:t>
      </w:r>
      <w:r>
        <w:t xml:space="preserve">France – Paris</w:t>
      </w:r>
    </w:p>
    <w:bookmarkStart w:id="20" w:name="issued-by-the-banker"/>
    <w:p>
      <w:pPr>
        <w:pStyle w:val="Heading3"/>
      </w:pPr>
      <w:r>
        <w:t xml:space="preserve">Issued By (The Banker)</w:t>
      </w:r>
    </w:p>
    <w:p>
      <w:pPr>
        <w:pStyle w:val="FirstParagraph"/>
      </w:pPr>
      <w:r>
        <w:rPr>
          <w:bCs/>
          <w:b/>
        </w:rPr>
        <w:t xml:space="preserve">Honoré de la Banque – Senior Banker &amp; Financial Advisor</w:t>
      </w:r>
    </w:p>
    <w:p>
      <w:pPr>
        <w:pStyle w:val="BodyText"/>
      </w:pPr>
      <w:r>
        <w:t xml:space="preserve">Crédit Parisien &amp; Associés SARL</w:t>
      </w:r>
    </w:p>
    <w:p>
      <w:pPr>
        <w:pStyle w:val="BodyText"/>
      </w:pPr>
      <w:r>
        <w:t xml:space="preserve">28 Avenue de l'Opéra, 75001 Paris, France</w:t>
      </w:r>
    </w:p>
    <w:p>
      <w:pPr>
        <w:pStyle w:val="BodyText"/>
      </w:pPr>
      <w:r>
        <w:t xml:space="preserve">Tel: +33 (0)1 42 60 18 34</w:t>
      </w:r>
    </w:p>
    <w:p>
      <w:pPr>
        <w:pStyle w:val="BodyText"/>
      </w:pPr>
      <w:r>
        <w:t xml:space="preserve">Email: h.delabanque@creditparisien.fr</w:t>
      </w:r>
    </w:p>
    <w:p>
      <w:pPr>
        <w:pStyle w:val="BodyText"/>
      </w:pPr>
      <w:r>
        <w:t xml:space="preserve">SIRET: 842 567 391 00027</w:t>
      </w:r>
    </w:p>
    <w:p>
      <w:pPr>
        <w:pStyle w:val="BodyText"/>
      </w:pPr>
      <w:r>
        <w:t xml:space="preserve">TVA Intracommunautaire: FR 32 842567391</w:t>
      </w:r>
    </w:p>
    <w:p>
      <w:pPr>
        <w:pStyle w:val="BodyText"/>
      </w:pPr>
      <w:r>
        <w:t xml:space="preserve">RC Paris: 842 567 391</w:t>
      </w:r>
    </w:p>
    <w:p>
      <w:pPr>
        <w:pStyle w:val="BodyText"/>
      </w:pPr>
      <w:r>
        <w:t xml:space="preserve">ACPR Registration: 12345678</w:t>
      </w:r>
    </w:p>
    <w:bookmarkEnd w:id="20"/>
    <w:bookmarkStart w:id="21" w:name="issued-to-the-client"/>
    <w:p>
      <w:pPr>
        <w:pStyle w:val="Heading3"/>
      </w:pPr>
      <w:r>
        <w:t xml:space="preserve">Issued To (The Client)</w:t>
      </w:r>
    </w:p>
    <w:p>
      <w:pPr>
        <w:pStyle w:val="FirstParagraph"/>
      </w:pPr>
      <w:r>
        <w:rPr>
          <w:bCs/>
          <w:b/>
        </w:rPr>
        <w:t xml:space="preserve">Monsieur Jean-Luc Moreau</w:t>
      </w:r>
    </w:p>
    <w:p>
      <w:pPr>
        <w:pStyle w:val="BodyText"/>
      </w:pPr>
      <w:r>
        <w:t xml:space="preserve">Moreau &amp; Fils Holdings SAS</w:t>
      </w:r>
    </w:p>
    <w:p>
      <w:pPr>
        <w:pStyle w:val="BodyText"/>
      </w:pPr>
      <w:r>
        <w:t xml:space="preserve">15 Rue de Rivoli, 75001 Paris, France</w:t>
      </w:r>
    </w:p>
    <w:p>
      <w:pPr>
        <w:pStyle w:val="BodyText"/>
      </w:pPr>
      <w:r>
        <w:t xml:space="preserve">Tel: +33 (0)1 42 61 77 02</w:t>
      </w:r>
    </w:p>
    <w:p>
      <w:pPr>
        <w:pStyle w:val="BodyText"/>
      </w:pPr>
      <w:r>
        <w:t xml:space="preserve">Email: j.moreau@moreaufils.fr</w:t>
      </w:r>
    </w:p>
    <w:p>
      <w:pPr>
        <w:pStyle w:val="BodyText"/>
      </w:pPr>
      <w:r>
        <w:t xml:space="preserve">SIRET: 519 234 876 00014</w:t>
      </w:r>
    </w:p>
    <w:p>
      <w:pPr>
        <w:pStyle w:val="BodyText"/>
      </w:pPr>
      <w:r>
        <w:t xml:space="preserve">TVA Intracommunautaire: FR 18 519234876</w:t>
      </w:r>
    </w:p>
    <w:p>
      <w:pPr>
        <w:pStyle w:val="BodyText"/>
      </w:pPr>
      <w:r>
        <w:t xml:space="preserve">RC Paris: 519 234 876</w:t>
      </w:r>
    </w:p>
    <w:bookmarkEnd w:id="21"/>
    <w:bookmarkStart w:id="24" w:name="description-of-banking-services-rendered"/>
    <w:p>
      <w:pPr>
        <w:pStyle w:val="Heading2"/>
      </w:pPr>
      <w:r>
        <w:t xml:space="preserve">Description of Banking Services Rendered</w:t>
      </w:r>
    </w:p>
    <w:p>
      <w:pPr>
        <w:pStyle w:val="FirstParagraph"/>
      </w:pPr>
      <w:r>
        <w:t xml:space="preserve">The following invoice pertains to professional banking and financial advisory services provided by the undersigned Banker, operating under the regulatory framework of the Autorité de Contrôle Prudentiel et de Résolution (ACPR) and in full compliance with the French Monetary and Financial Code (Code monétaire et financier), as applicable in Paris,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corporate banking account restructuring and liquidity management advisory for Moreau &amp; Fils Holdings, conducted at the Paris headquarters.</w:t>
            </w:r>
          </w:p>
        </w:tc>
        <w:tc>
          <w:tcPr/>
          <w:p>
            <w:pPr>
              <w:pStyle w:val="Compact"/>
              <w:jc w:val="left"/>
            </w:pPr>
            <w:r>
              <w:t xml:space="preserve">Jan – Mar 2025</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Structured trade finance facility design and syndicated loan coordination with partner banks across the Paris financial district (La Défense and Île de la Cité).</w:t>
            </w:r>
          </w:p>
        </w:tc>
        <w:tc>
          <w:tcPr/>
          <w:p>
            <w:pPr>
              <w:pStyle w:val="Compact"/>
              <w:jc w:val="left"/>
            </w:pPr>
            <w:r>
              <w:t xml:space="preserve">Feb – Apr 2025</w:t>
            </w:r>
          </w:p>
        </w:tc>
        <w:tc>
          <w:tcPr/>
          <w:p>
            <w:pPr>
              <w:pStyle w:val="Compact"/>
              <w:jc w:val="left"/>
            </w:pPr>
            <w:r>
              <w:t xml:space="preserve">210.00</w:t>
            </w:r>
          </w:p>
        </w:tc>
        <w:tc>
          <w:tcPr/>
          <w:p>
            <w:pPr>
              <w:pStyle w:val="Compact"/>
              <w:jc w:val="left"/>
            </w:pPr>
            <w:r>
              <w:t xml:space="preserve">18</w:t>
            </w:r>
          </w:p>
        </w:tc>
        <w:tc>
          <w:tcPr/>
          <w:p>
            <w:pPr>
              <w:pStyle w:val="Compact"/>
              <w:jc w:val="left"/>
            </w:pPr>
            <w:r>
              <w:t xml:space="preserve">3,780.00</w:t>
            </w:r>
          </w:p>
        </w:tc>
      </w:tr>
      <w:tr>
        <w:tc>
          <w:tcPr/>
          <w:p>
            <w:pPr>
              <w:pStyle w:val="Compact"/>
              <w:jc w:val="left"/>
            </w:pPr>
            <w:r>
              <w:t xml:space="preserve">03</w:t>
            </w:r>
          </w:p>
        </w:tc>
        <w:tc>
          <w:tcPr/>
          <w:p>
            <w:pPr>
              <w:pStyle w:val="Compact"/>
              <w:jc w:val="left"/>
            </w:pPr>
            <w:r>
              <w:t xml:space="preserve">Regulatory compliance review under French banking law (Loi n° 2013-1117) and ACPR reporting obligations, including AML/KYC audit preparation.</w:t>
            </w:r>
          </w:p>
        </w:tc>
        <w:tc>
          <w:tcPr/>
          <w:p>
            <w:pPr>
              <w:pStyle w:val="Compact"/>
              <w:jc w:val="left"/>
            </w:pPr>
            <w:r>
              <w:t xml:space="preserve">Mar – May 2025</w:t>
            </w:r>
          </w:p>
        </w:tc>
        <w:tc>
          <w:tcPr/>
          <w:p>
            <w:pPr>
              <w:pStyle w:val="Compact"/>
              <w:jc w:val="left"/>
            </w:pPr>
            <w:r>
              <w:t xml:space="preserve">195.00</w:t>
            </w:r>
          </w:p>
        </w:tc>
        <w:tc>
          <w:tcPr/>
          <w:p>
            <w:pPr>
              <w:pStyle w:val="Compact"/>
              <w:jc w:val="left"/>
            </w:pPr>
            <w:r>
              <w:t xml:space="preserve">16</w:t>
            </w:r>
          </w:p>
        </w:tc>
        <w:tc>
          <w:tcPr/>
          <w:p>
            <w:pPr>
              <w:pStyle w:val="Compact"/>
              <w:jc w:val="left"/>
            </w:pPr>
            <w:r>
              <w:t xml:space="preserve">3,120.00</w:t>
            </w:r>
          </w:p>
        </w:tc>
      </w:tr>
      <w:tr>
        <w:tc>
          <w:tcPr/>
          <w:p>
            <w:pPr>
              <w:pStyle w:val="Compact"/>
              <w:jc w:val="left"/>
            </w:pPr>
            <w:r>
              <w:t xml:space="preserve">04</w:t>
            </w:r>
          </w:p>
        </w:tc>
        <w:tc>
          <w:tcPr/>
          <w:p>
            <w:pPr>
              <w:pStyle w:val="Compact"/>
              <w:jc w:val="left"/>
            </w:pPr>
            <w:r>
              <w:t xml:space="preserve">Foreign exchange hedging strategy and multi-currency treasury management for international operations based in Paris.</w:t>
            </w:r>
          </w:p>
        </w:tc>
        <w:tc>
          <w:tcPr/>
          <w:p>
            <w:pPr>
              <w:pStyle w:val="Compact"/>
              <w:jc w:val="left"/>
            </w:pPr>
            <w:r>
              <w:t xml:space="preserve">Apr – Jun 2025</w:t>
            </w:r>
          </w:p>
        </w:tc>
        <w:tc>
          <w:tcPr/>
          <w:p>
            <w:pPr>
              <w:pStyle w:val="Compact"/>
              <w:jc w:val="left"/>
            </w:pPr>
            <w:r>
              <w:t xml:space="preserve">200.00</w:t>
            </w:r>
          </w:p>
        </w:tc>
        <w:tc>
          <w:tcPr/>
          <w:p>
            <w:pPr>
              <w:pStyle w:val="Compact"/>
              <w:jc w:val="left"/>
            </w:pPr>
            <w:r>
              <w:t xml:space="preserve">12</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Quarterly board-level financial reporting and banking relationship review presented at the client's Paris office, 15 Rue de Rivoli.</w:t>
            </w:r>
          </w:p>
        </w:tc>
        <w:tc>
          <w:tcPr/>
          <w:p>
            <w:pPr>
              <w:pStyle w:val="Compact"/>
              <w:jc w:val="left"/>
            </w:pPr>
            <w:r>
              <w:t xml:space="preserve">Jun 2025</w:t>
            </w:r>
          </w:p>
        </w:tc>
        <w:tc>
          <w:tcPr/>
          <w:p>
            <w:pPr>
              <w:pStyle w:val="Compact"/>
              <w:jc w:val="left"/>
            </w:pPr>
            <w:r>
              <w:t xml:space="preserve">250.00</w:t>
            </w:r>
          </w:p>
        </w:tc>
        <w:tc>
          <w:tcPr/>
          <w:p>
            <w:pPr>
              <w:pStyle w:val="Compact"/>
              <w:jc w:val="left"/>
            </w:pPr>
            <w:r>
              <w:t xml:space="preserve">4</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Ad-hoc advisory on French tax-optimised banking structures (LBO financing, mezzanine debt) in accordance with the French General Tax Code (Code général des impôts).</w:t>
            </w:r>
          </w:p>
        </w:tc>
        <w:tc>
          <w:tcPr/>
          <w:p>
            <w:pPr>
              <w:pStyle w:val="Compact"/>
              <w:jc w:val="left"/>
            </w:pPr>
            <w:r>
              <w:t xml:space="preserve">May – Jun 2025</w:t>
            </w:r>
          </w:p>
        </w:tc>
        <w:tc>
          <w:tcPr/>
          <w:p>
            <w:pPr>
              <w:pStyle w:val="Compact"/>
              <w:jc w:val="left"/>
            </w:pPr>
            <w:r>
              <w:t xml:space="preserve">220.00</w:t>
            </w:r>
          </w:p>
        </w:tc>
        <w:tc>
          <w:tcPr/>
          <w:p>
            <w:pPr>
              <w:pStyle w:val="Compact"/>
              <w:jc w:val="left"/>
            </w:pPr>
            <w:r>
              <w:t xml:space="preserve">8</w:t>
            </w:r>
          </w:p>
        </w:tc>
        <w:tc>
          <w:tcPr/>
          <w:p>
            <w:pPr>
              <w:pStyle w:val="Compact"/>
              <w:jc w:val="left"/>
            </w:pPr>
            <w:r>
              <w:t xml:space="preserve">1,760.00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Taxes)</w:t>
            </w:r>
          </w:p>
        </w:tc>
        <w:tc>
          <w:tcPr/>
          <w:p>
            <w:pPr>
              <w:pStyle w:val="Compact"/>
              <w:jc w:val="left"/>
            </w:pPr>
            <w:r>
              <w:t xml:space="preserve">16,500.00 EUR</w:t>
            </w:r>
          </w:p>
        </w:tc>
      </w:tr>
      <w:tr>
        <w:tc>
          <w:tcPr/>
          <w:p>
            <w:pPr>
              <w:pStyle w:val="Compact"/>
              <w:jc w:val="left"/>
            </w:pPr>
            <w:r>
              <w:t xml:space="preserve">TVA (VAT) – 20% (French standard rate)</w:t>
            </w:r>
          </w:p>
        </w:tc>
        <w:tc>
          <w:tcPr/>
          <w:p>
            <w:pPr>
              <w:pStyle w:val="Compact"/>
              <w:jc w:val="left"/>
            </w:pPr>
            <w:r>
              <w:t xml:space="preserve">3,300.00 EUR</w:t>
            </w:r>
          </w:p>
        </w:tc>
      </w:tr>
      <w:tr>
        <w:tc>
          <w:tcPr/>
          <w:p>
            <w:pPr>
              <w:pStyle w:val="Compact"/>
              <w:jc w:val="left"/>
            </w:pPr>
            <w:r>
              <w:t xml:space="preserve">Taxe sur les services bancaires (0.30%)</w:t>
            </w:r>
          </w:p>
        </w:tc>
        <w:tc>
          <w:tcPr/>
          <w:p>
            <w:pPr>
              <w:pStyle w:val="Compact"/>
              <w:jc w:val="left"/>
            </w:pPr>
            <w:r>
              <w:t xml:space="preserve">49.50 EUR</w:t>
            </w:r>
          </w:p>
        </w:tc>
      </w:tr>
      <w:tr>
        <w:tc>
          <w:tcPr/>
          <w:p>
            <w:pPr>
              <w:pStyle w:val="Compact"/>
              <w:jc w:val="left"/>
            </w:pPr>
            <w:r>
              <w:t xml:space="preserve">TOTAL DUE (TTC – Toutes Taxes Comprises)</w:t>
            </w:r>
          </w:p>
        </w:tc>
        <w:tc>
          <w:tcPr/>
          <w:p>
            <w:pPr>
              <w:pStyle w:val="Compact"/>
              <w:jc w:val="left"/>
            </w:pPr>
            <w:r>
              <w:t xml:space="preserve">19,849.50 EUR</w:t>
            </w:r>
          </w:p>
        </w:tc>
      </w:tr>
    </w:tbl>
    <w:bookmarkStart w:id="22" w:name="payment-terms-banking-instructions"/>
    <w:p>
      <w:pPr>
        <w:pStyle w:val="Heading3"/>
      </w:pPr>
      <w:r>
        <w:t xml:space="preserve">Payment Terms &amp; Banking Instructions</w:t>
      </w:r>
    </w:p>
    <w:p>
      <w:pPr>
        <w:pStyle w:val="FirstParagraph"/>
      </w:pPr>
      <w:r>
        <w:rPr>
          <w:bCs/>
          <w:b/>
        </w:rPr>
        <w:t xml:space="preserve">Payment Method:</w:t>
      </w:r>
      <w:r>
        <w:t xml:space="preserve"> </w:t>
      </w:r>
      <w:r>
        <w:t xml:space="preserve">Bank transfer (Virement bancaire) to the account of the Banker as detailed below.</w:t>
      </w:r>
    </w:p>
    <w:p>
      <w:pPr>
        <w:pStyle w:val="BodyText"/>
      </w:pPr>
      <w:r>
        <w:rPr>
          <w:bCs/>
          <w:b/>
        </w:rPr>
        <w:t xml:space="preserve">IBAN:</w:t>
      </w:r>
      <w:r>
        <w:t xml:space="preserve"> </w:t>
      </w:r>
      <w:r>
        <w:t xml:space="preserve">FR76 3000 4000 0312 3456 7890 143</w:t>
      </w:r>
    </w:p>
    <w:p>
      <w:pPr>
        <w:pStyle w:val="BodyText"/>
      </w:pPr>
      <w:r>
        <w:rPr>
          <w:bCs/>
          <w:b/>
        </w:rPr>
        <w:t xml:space="preserve">BIC/SWIFT:</w:t>
      </w:r>
      <w:r>
        <w:t xml:space="preserve"> </w:t>
      </w:r>
      <w:r>
        <w:t xml:space="preserve">BNPAFRPPXXX</w:t>
      </w:r>
    </w:p>
    <w:p>
      <w:pPr>
        <w:pStyle w:val="BodyText"/>
      </w:pPr>
      <w:r>
        <w:rPr>
          <w:bCs/>
          <w:b/>
        </w:rPr>
        <w:t xml:space="preserve">Bank:</w:t>
      </w:r>
      <w:r>
        <w:t xml:space="preserve"> </w:t>
      </w:r>
      <w:r>
        <w:t xml:space="preserve">Banque Nationale de Paris (BNP Paribas), Agence Opéra, 75001 Paris</w:t>
      </w:r>
    </w:p>
    <w:p>
      <w:pPr>
        <w:pStyle w:val="BodyText"/>
      </w:pPr>
      <w:r>
        <w:rPr>
          <w:bCs/>
          <w:b/>
        </w:rPr>
        <w:t xml:space="preserve">Reference to include:</w:t>
      </w:r>
      <w:r>
        <w:t xml:space="preserve"> </w:t>
      </w:r>
      <w:r>
        <w:t xml:space="preserve">INV-2025-PAR-04872 / Moreau &amp; Fils Holdings</w:t>
      </w:r>
    </w:p>
    <w:p>
      <w:pPr>
        <w:pStyle w:val="BodyText"/>
      </w:pPr>
      <w:r>
        <w:rPr>
          <w:bCs/>
          <w:b/>
        </w:rPr>
        <w:t xml:space="preserve">Payment Deadline:</w:t>
      </w:r>
      <w:r>
        <w:t xml:space="preserve"> </w:t>
      </w:r>
      <w:r>
        <w:t xml:space="preserve">This invoice is payable within thirty (30) calendar days from the date of issue, in accordance with Article L.441-10 of the French Commercial Code (Code de commerce). Late payment shall incur statutory interest at the rate prescribed by Article L.441-10 of the Code de commerce, plus a fixed indemnity of forty euros (€40) for recovery costs.</w:t>
      </w:r>
    </w:p>
    <w:p>
      <w:pPr>
        <w:pStyle w:val="BodyText"/>
      </w:pPr>
      <w:r>
        <w:rPr>
          <w:bCs/>
          <w:b/>
        </w:rPr>
        <w:t xml:space="preserve">Dispute Resolution:</w:t>
      </w:r>
      <w:r>
        <w:t xml:space="preserve"> </w:t>
      </w:r>
      <w:r>
        <w:t xml:space="preserve">Any dispute arising from this invoice or the banking services described herein shall be submitted to the exclusive jurisdiction of the Tribunal de Commerce de Paris, in accordance with French civil and commercial law. The parties may, by mutual written agreement, opt for mediation before the Médiateur de la Banque (Banking Mediator) as provided under Article L.316-1 of the Code de la consommation.</w:t>
      </w:r>
    </w:p>
    <w:bookmarkEnd w:id="22"/>
    <w:bookmarkStart w:id="23" w:name="additional-notes-regulatory-disclosures"/>
    <w:p>
      <w:pPr>
        <w:pStyle w:val="Heading3"/>
      </w:pPr>
      <w:r>
        <w:t xml:space="preserve">Additional Notes &amp; Regulatory Disclosures</w:t>
      </w:r>
    </w:p>
    <w:p>
      <w:pPr>
        <w:numPr>
          <w:ilvl w:val="0"/>
          <w:numId w:val="1001"/>
        </w:numPr>
        <w:pStyle w:val="Compact"/>
      </w:pPr>
      <w:r>
        <w:t xml:space="preserve">This invoice has been issued in the capacity of a licensed Banker operating under the supervision of the Autorité de Contrôle Prudentiel et de Résolution (ACPR) and the Banque de France, both headquartered in Paris, France.</w:t>
      </w:r>
    </w:p>
    <w:p>
      <w:pPr>
        <w:numPr>
          <w:ilvl w:val="0"/>
          <w:numId w:val="1001"/>
        </w:numPr>
        <w:pStyle w:val="Compact"/>
      </w:pPr>
      <w:r>
        <w:t xml:space="preserve">All banking services rendered are subject to the professional secrecy obligations set forth in Article L.511-33 of the French Monetary and Financial Code (Code monétaire et financier).</w:t>
      </w:r>
    </w:p>
    <w:p>
      <w:pPr>
        <w:numPr>
          <w:ilvl w:val="0"/>
          <w:numId w:val="1001"/>
        </w:numPr>
        <w:pStyle w:val="Compact"/>
      </w:pPr>
      <w:r>
        <w:t xml:space="preserve">The Banker confirms that all advisory services described in this invoice were performed in Paris, France, and are governed by French law. No portion of the services described herein constitutes investment advice as defined by the Markets in Financial Instruments Directive (MiFID II) as transposed into French law.</w:t>
      </w:r>
    </w:p>
    <w:p>
      <w:pPr>
        <w:numPr>
          <w:ilvl w:val="0"/>
          <w:numId w:val="1001"/>
        </w:numPr>
        <w:pStyle w:val="Compact"/>
      </w:pPr>
      <w:r>
        <w:t xml:space="preserve">This invoice is issued in accordance with the French electronic invoicing regulations (Facturation électronique) under the Loi n° 2023-1106 du 26 novembre 2023, and is valid as a legal financial document in the Republic of France.</w:t>
      </w:r>
    </w:p>
    <w:p>
      <w:pPr>
        <w:numPr>
          <w:ilvl w:val="0"/>
          <w:numId w:val="1001"/>
        </w:numPr>
        <w:pStyle w:val="Compact"/>
      </w:pPr>
      <w:r>
        <w:t xml:space="preserve">The Banker retains the right to issue a corrective invoice (avoir) in the event of any billing discrepancy, in compliance with French accounting standards (Plan Comptable Général – PCG).</w:t>
      </w:r>
    </w:p>
    <w:p>
      <w:pPr>
        <w:numPr>
          <w:ilvl w:val="0"/>
          <w:numId w:val="1001"/>
        </w:numPr>
        <w:pStyle w:val="Compact"/>
      </w:pPr>
      <w:r>
        <w:t xml:space="preserve">Client data processed in connection with this invoice is handled in strict compliance with the General Data Protection Regulation (GDPR / RGPD) and the French Data Protection Act (Loi Informatique et Libertés), under the authority of the Commission Nationale de l'Informatique et des Libertés (CNIL), Paris.</w:t>
      </w:r>
    </w:p>
    <w:bookmarkEnd w:id="23"/>
    <w:p>
      <w:pPr>
        <w:pStyle w:val="FirstParagraph"/>
      </w:pPr>
      <w:r>
        <w:rPr>
          <w:bCs/>
          <w:b/>
        </w:rPr>
        <w:t xml:space="preserve">Crédit Parisien &amp; Associés SARL</w:t>
      </w:r>
      <w:r>
        <w:t xml:space="preserve"> </w:t>
      </w:r>
      <w:r>
        <w:t xml:space="preserve">– Capital: 250,000 EUR – SIRET: 842 567 391 00027 – TVA: FR 32 842567391</w:t>
      </w:r>
    </w:p>
    <w:p>
      <w:pPr>
        <w:pStyle w:val="BodyText"/>
      </w:pPr>
      <w:r>
        <w:t xml:space="preserve">28 Avenue de l'Opéra, 75001 Paris, France – RC Paris: 842 567 391</w:t>
      </w:r>
    </w:p>
    <w:p>
      <w:pPr>
        <w:pStyle w:val="BodyText"/>
      </w:pPr>
      <w:r>
        <w:t xml:space="preserve">Regulated by the ACPR (Autorité de Contrôle Prudentiel et de Résolution) – 6 rue Oudinot, 75007 Paris</w:t>
      </w:r>
    </w:p>
    <w:p>
      <w:pPr>
        <w:pStyle w:val="BodyText"/>
      </w:pPr>
      <w:r>
        <w:t xml:space="preserve">This invoice is a legally binding financial document issued in Paris, France. It constitutes proof of the banking and financial advisory services rendered by the undersigned Banker to the client named above. Retain this document for your accounting records in accordance with French tax and commercial law.</w:t>
      </w:r>
    </w:p>
    <w:p>
      <w:pPr>
        <w:pStyle w:val="BodyText"/>
      </w:pPr>
      <w:r>
        <w:t xml:space="preserve">Document generated on 14 June 2025 – Paris, France. Invoice INV-2025-PAR-04872.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Paris, France</dc:title>
  <dc:creator/>
  <dc:language>en</dc:language>
  <cp:keywords/>
  <dcterms:created xsi:type="dcterms:W3CDTF">2026-10-10T08:37:21Z</dcterms:created>
  <dcterms:modified xsi:type="dcterms:W3CDTF">2026-10-10T08:37:21Z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