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Berlin</w:t>
      </w:r>
      <w:r>
        <w:t xml:space="preserve"> </w:t>
      </w:r>
      <w:r>
        <w:t xml:space="preserve">Banker</w:t>
      </w:r>
      <w:r>
        <w:t xml:space="preserve"> </w:t>
      </w:r>
      <w:r>
        <w:t xml:space="preserve">Financial</w:t>
      </w:r>
      <w:r>
        <w:t xml:space="preserve"> </w:t>
      </w:r>
      <w:r>
        <w:t xml:space="preserve">Services</w:t>
      </w:r>
    </w:p>
    <w:bookmarkStart w:id="20" w:name="invoice"/>
    <w:p>
      <w:pPr>
        <w:pStyle w:val="Heading1"/>
      </w:pPr>
      <w:r>
        <w:t xml:space="preserve">INVOICE</w:t>
      </w:r>
    </w:p>
    <w:p>
      <w:pPr>
        <w:pStyle w:val="FirstParagraph"/>
      </w:pPr>
      <w:r>
        <w:t xml:space="preserve">Professional Banking &amp; Financial Advisory Services</w:t>
      </w:r>
    </w:p>
    <w:bookmarkEnd w:id="20"/>
    <w:p>
      <w:pPr>
        <w:pStyle w:val="BodyText"/>
      </w:pPr>
      <w:r>
        <w:rPr>
          <w:bCs/>
          <w:b/>
        </w:rPr>
        <w:t xml:space="preserve">Invoice No.:</w:t>
      </w:r>
      <w:r>
        <w:t xml:space="preserve"> </w:t>
      </w:r>
      <w:r>
        <w:t xml:space="preserve">INV-BER-2025-04782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w:t>
      </w:r>
    </w:p>
    <w:bookmarkStart w:id="21" w:name="berlin-banker-financial-advisory-gmbh"/>
    <w:p>
      <w:pPr>
        <w:pStyle w:val="Heading2"/>
      </w:pPr>
      <w:r>
        <w:t xml:space="preserve">Berlin Banker Financial Advisory GmbH</w:t>
      </w:r>
    </w:p>
    <w:p>
      <w:pPr>
        <w:pStyle w:val="FirstParagraph"/>
      </w:pPr>
      <w:r>
        <w:t xml:space="preserve">Unter den Linden 87, 10117 Berlin, Germany</w:t>
      </w:r>
    </w:p>
    <w:p>
      <w:pPr>
        <w:pStyle w:val="BodyText"/>
      </w:pPr>
      <w:r>
        <w:t xml:space="preserve">Phone: +49 (0)30 5557 8921  |  Email: billing@berlinbanker-fa.de</w:t>
      </w:r>
    </w:p>
    <w:p>
      <w:pPr>
        <w:pStyle w:val="BodyText"/>
      </w:pPr>
      <w:r>
        <w:t xml:space="preserve">USt-IdNr. (VAT ID): DE 318 472 905</w:t>
      </w:r>
    </w:p>
    <w:p>
      <w:pPr>
        <w:pStyle w:val="BodyText"/>
      </w:pPr>
      <w:r>
        <w:t xml:space="preserve">HRB 184 729 B, Amtsgericht Charlottenburg, Berlin</w:t>
      </w:r>
    </w:p>
    <w:p>
      <w:pPr>
        <w:pStyle w:val="BodyText"/>
      </w:pPr>
      <w:r>
        <w:t xml:space="preserve">Managing Director: Dr. Heinrich von Steinbach</w:t>
      </w:r>
    </w:p>
    <w:bookmarkEnd w:id="21"/>
    <w:bookmarkStart w:id="22" w:name="billed-to-client"/>
    <w:p>
      <w:pPr>
        <w:pStyle w:val="Heading3"/>
      </w:pPr>
      <w:r>
        <w:t xml:space="preserve">Billed To (Client)</w:t>
      </w:r>
    </w:p>
    <w:p>
      <w:pPr>
        <w:pStyle w:val="FirstParagraph"/>
      </w:pPr>
      <w:r>
        <w:rPr>
          <w:bCs/>
          <w:b/>
        </w:rPr>
        <w:t xml:space="preserve">Meridian Industrial Holdings AG</w:t>
      </w:r>
    </w:p>
    <w:p>
      <w:pPr>
        <w:pStyle w:val="BodyText"/>
      </w:pPr>
      <w:r>
        <w:t xml:space="preserve">Frankfurter Allee 214, 10247 Berlin, Germany</w:t>
      </w:r>
    </w:p>
    <w:p>
      <w:pPr>
        <w:pStyle w:val="BodyText"/>
      </w:pPr>
      <w:r>
        <w:t xml:space="preserve">Attn: CFO, Ms. Anja Kessler</w:t>
      </w:r>
    </w:p>
    <w:p>
      <w:pPr>
        <w:pStyle w:val="BodyText"/>
      </w:pPr>
      <w:r>
        <w:t xml:space="preserve">VAT ID: DE 294 551 338</w:t>
      </w:r>
    </w:p>
    <w:p>
      <w:pPr>
        <w:pStyle w:val="BodyText"/>
      </w:pPr>
      <w:r>
        <w:t xml:space="preserve">Client Reference: MBF-2025-Q2-0091</w:t>
      </w:r>
    </w:p>
    <w:bookmarkEnd w:id="22"/>
    <w:bookmarkStart w:id="24" w:name="X3bb70a8b01afb562a4d151a05c67f45c0d85993"/>
    <w:p>
      <w:pPr>
        <w:pStyle w:val="Heading2"/>
      </w:pPr>
      <w:r>
        <w:t xml:space="preserve">Description of Banking &amp; Financial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corporate banking portfolio review and restructuring advisory for Meridian Industrial Holdings AG, conducted by a senior banker at our Berlin office. Includes analysis of existing credit facilities, loan covenants, and interest rate exposure across all German and international banking relationships.</w:t>
            </w:r>
          </w:p>
        </w:tc>
        <w:tc>
          <w:tcPr/>
          <w:p>
            <w:pPr>
              <w:pStyle w:val="Compact"/>
              <w:jc w:val="left"/>
            </w:pPr>
            <w:r>
              <w:t xml:space="preserve">Jan – Jun 2025</w:t>
            </w:r>
          </w:p>
        </w:tc>
        <w:tc>
          <w:tcPr/>
          <w:p>
            <w:pPr>
              <w:pStyle w:val="Compact"/>
              <w:jc w:val="left"/>
            </w:pPr>
            <w:r>
              <w:t xml:space="preserve">€285.00</w:t>
            </w:r>
          </w:p>
        </w:tc>
        <w:tc>
          <w:tcPr/>
          <w:p>
            <w:pPr>
              <w:pStyle w:val="Compact"/>
              <w:jc w:val="left"/>
            </w:pPr>
            <w:r>
              <w:t xml:space="preserve">42</w:t>
            </w:r>
          </w:p>
        </w:tc>
        <w:tc>
          <w:tcPr/>
          <w:p>
            <w:pPr>
              <w:pStyle w:val="Compact"/>
              <w:jc w:val="left"/>
            </w:pPr>
            <w:r>
              <w:t xml:space="preserve">€11,970.00</w:t>
            </w:r>
          </w:p>
        </w:tc>
      </w:tr>
      <w:tr>
        <w:tc>
          <w:tcPr/>
          <w:p>
            <w:pPr>
              <w:pStyle w:val="Compact"/>
              <w:jc w:val="left"/>
            </w:pPr>
            <w:r>
              <w:t xml:space="preserve">02</w:t>
            </w:r>
          </w:p>
        </w:tc>
        <w:tc>
          <w:tcPr/>
          <w:p>
            <w:pPr>
              <w:pStyle w:val="Compact"/>
              <w:jc w:val="left"/>
            </w:pPr>
            <w:r>
              <w:t xml:space="preserve">Strategic treasury management consultation and cash flow optimisation planning. The assigned banker prepared a detailed liquidity forecast model covering the next 24 months, incorporating seasonal revenue patterns specific to the German industrial manufacturing sector and Berlin-based operations.</w:t>
            </w:r>
          </w:p>
        </w:tc>
        <w:tc>
          <w:tcPr/>
          <w:p>
            <w:pPr>
              <w:pStyle w:val="Compact"/>
              <w:jc w:val="left"/>
            </w:pPr>
            <w:r>
              <w:t xml:space="preserve">Feb – May 2025</w:t>
            </w:r>
          </w:p>
        </w:tc>
        <w:tc>
          <w:tcPr/>
          <w:p>
            <w:pPr>
              <w:pStyle w:val="Compact"/>
              <w:jc w:val="left"/>
            </w:pPr>
            <w:r>
              <w:t xml:space="preserve">€265.00</w:t>
            </w:r>
          </w:p>
        </w:tc>
        <w:tc>
          <w:tcPr/>
          <w:p>
            <w:pPr>
              <w:pStyle w:val="Compact"/>
              <w:jc w:val="left"/>
            </w:pPr>
            <w:r>
              <w:t xml:space="preserve">36</w:t>
            </w:r>
          </w:p>
        </w:tc>
        <w:tc>
          <w:tcPr/>
          <w:p>
            <w:pPr>
              <w:pStyle w:val="Compact"/>
              <w:jc w:val="left"/>
            </w:pPr>
            <w:r>
              <w:t xml:space="preserve">€9,540.00</w:t>
            </w:r>
          </w:p>
        </w:tc>
      </w:tr>
      <w:tr>
        <w:tc>
          <w:tcPr/>
          <w:p>
            <w:pPr>
              <w:pStyle w:val="Compact"/>
              <w:jc w:val="left"/>
            </w:pPr>
            <w:r>
              <w:t xml:space="preserve">03</w:t>
            </w:r>
          </w:p>
        </w:tc>
        <w:tc>
          <w:tcPr/>
          <w:p>
            <w:pPr>
              <w:pStyle w:val="Compact"/>
              <w:jc w:val="left"/>
            </w:pPr>
            <w:r>
              <w:t xml:space="preserve">Negotiation support and advisory for a syndicated loan facility of €45 million with a consortium of German and European banks. The banker facilitated all correspondence, structured the term sheet, and represented the client's interests during three in-person negotiation sessions held in Berlin.</w:t>
            </w:r>
          </w:p>
        </w:tc>
        <w:tc>
          <w:tcPr/>
          <w:p>
            <w:pPr>
              <w:pStyle w:val="Compact"/>
              <w:jc w:val="left"/>
            </w:pPr>
            <w:r>
              <w:t xml:space="preserve">Mar – Jun 2025</w:t>
            </w:r>
          </w:p>
        </w:tc>
        <w:tc>
          <w:tcPr/>
          <w:p>
            <w:pPr>
              <w:pStyle w:val="Compact"/>
              <w:jc w:val="left"/>
            </w:pPr>
            <w:r>
              <w:t xml:space="preserve">€310.00</w:t>
            </w:r>
          </w:p>
        </w:tc>
        <w:tc>
          <w:tcPr/>
          <w:p>
            <w:pPr>
              <w:pStyle w:val="Compact"/>
              <w:jc w:val="left"/>
            </w:pPr>
            <w:r>
              <w:t xml:space="preserve">28</w:t>
            </w:r>
          </w:p>
        </w:tc>
        <w:tc>
          <w:tcPr/>
          <w:p>
            <w:pPr>
              <w:pStyle w:val="Compact"/>
              <w:jc w:val="left"/>
            </w:pPr>
            <w:r>
              <w:t xml:space="preserve">€8,680.00</w:t>
            </w:r>
          </w:p>
        </w:tc>
      </w:tr>
      <w:tr>
        <w:tc>
          <w:tcPr/>
          <w:p>
            <w:pPr>
              <w:pStyle w:val="Compact"/>
              <w:jc w:val="left"/>
            </w:pPr>
            <w:r>
              <w:t xml:space="preserve">04</w:t>
            </w:r>
          </w:p>
        </w:tc>
        <w:tc>
          <w:tcPr/>
          <w:p>
            <w:pPr>
              <w:pStyle w:val="Compact"/>
              <w:jc w:val="left"/>
            </w:pPr>
            <w:r>
              <w:t xml:space="preserve">Regulatory compliance review in accordance with German Banking Act (KWG) and BaFin guidelines. The banker conducted a full audit of the client's internal banking controls, anti-money laundering procedures, and reporting obligations as required for corporate entities operating in Berlin, Germany.</w:t>
            </w:r>
          </w:p>
        </w:tc>
        <w:tc>
          <w:tcPr/>
          <w:p>
            <w:pPr>
              <w:pStyle w:val="Compact"/>
              <w:jc w:val="left"/>
            </w:pPr>
            <w:r>
              <w:t xml:space="preserve">Apr – Jun 2025</w:t>
            </w:r>
          </w:p>
        </w:tc>
        <w:tc>
          <w:tcPr/>
          <w:p>
            <w:pPr>
              <w:pStyle w:val="Compact"/>
              <w:jc w:val="left"/>
            </w:pPr>
            <w:r>
              <w:t xml:space="preserve">€245.00</w:t>
            </w:r>
          </w:p>
        </w:tc>
        <w:tc>
          <w:tcPr/>
          <w:p>
            <w:pPr>
              <w:pStyle w:val="Compact"/>
              <w:jc w:val="left"/>
            </w:pPr>
            <w:r>
              <w:t xml:space="preserve">24</w:t>
            </w:r>
          </w:p>
        </w:tc>
        <w:tc>
          <w:tcPr/>
          <w:p>
            <w:pPr>
              <w:pStyle w:val="Compact"/>
              <w:jc w:val="left"/>
            </w:pPr>
            <w:r>
              <w:t xml:space="preserve">€5,880.00</w:t>
            </w:r>
          </w:p>
        </w:tc>
      </w:tr>
      <w:tr>
        <w:tc>
          <w:tcPr/>
          <w:p>
            <w:pPr>
              <w:pStyle w:val="Compact"/>
              <w:jc w:val="left"/>
            </w:pPr>
            <w:r>
              <w:t xml:space="preserve">05</w:t>
            </w:r>
          </w:p>
        </w:tc>
        <w:tc>
          <w:tcPr/>
          <w:p>
            <w:pPr>
              <w:pStyle w:val="Compact"/>
              <w:jc w:val="left"/>
            </w:pPr>
            <w:r>
              <w:t xml:space="preserve">Foreign exchange risk management advisory and hedging strategy development. The banker designed a multi-layered FX hedging programme to protect the client's EUR/USD and EUR/GBP exposure arising from international trade operations, with implementation guidance for execution through Berlin-based banking partners.</w:t>
            </w:r>
          </w:p>
        </w:tc>
        <w:tc>
          <w:tcPr/>
          <w:p>
            <w:pPr>
              <w:pStyle w:val="Compact"/>
              <w:jc w:val="left"/>
            </w:pPr>
            <w:r>
              <w:t xml:space="preserve">May – Jun 2025</w:t>
            </w:r>
          </w:p>
        </w:tc>
        <w:tc>
          <w:tcPr/>
          <w:p>
            <w:pPr>
              <w:pStyle w:val="Compact"/>
              <w:jc w:val="left"/>
            </w:pPr>
            <w:r>
              <w:t xml:space="preserve">€275.00</w:t>
            </w:r>
          </w:p>
        </w:tc>
        <w:tc>
          <w:tcPr/>
          <w:p>
            <w:pPr>
              <w:pStyle w:val="Compact"/>
              <w:jc w:val="left"/>
            </w:pPr>
            <w:r>
              <w:t xml:space="preserve">18</w:t>
            </w:r>
          </w:p>
        </w:tc>
        <w:tc>
          <w:tcPr/>
          <w:p>
            <w:pPr>
              <w:pStyle w:val="Compact"/>
              <w:jc w:val="left"/>
            </w:pPr>
            <w:r>
              <w:t xml:space="preserve">€4,950.00</w:t>
            </w:r>
          </w:p>
        </w:tc>
      </w:tr>
      <w:tr>
        <w:tc>
          <w:tcPr/>
          <w:p>
            <w:pPr>
              <w:pStyle w:val="Compact"/>
              <w:jc w:val="left"/>
            </w:pPr>
            <w:r>
              <w:t xml:space="preserve">06</w:t>
            </w:r>
          </w:p>
        </w:tc>
        <w:tc>
          <w:tcPr/>
          <w:p>
            <w:pPr>
              <w:pStyle w:val="Compact"/>
              <w:jc w:val="left"/>
            </w:pPr>
            <w:r>
              <w:t xml:space="preserve">Quarterly banking relationship management and executive briefing. The banker prepared and delivered a comprehensive presentation to the client's board of directors in Berlin, summarising all banking activities, outstanding commitments, and forward-looking financial recommendations for the second half of 2025.</w:t>
            </w:r>
          </w:p>
        </w:tc>
        <w:tc>
          <w:tcPr/>
          <w:p>
            <w:pPr>
              <w:pStyle w:val="Compact"/>
              <w:jc w:val="left"/>
            </w:pPr>
            <w:r>
              <w:t xml:space="preserve">Jun 2025</w:t>
            </w:r>
          </w:p>
        </w:tc>
        <w:tc>
          <w:tcPr/>
          <w:p>
            <w:pPr>
              <w:pStyle w:val="Compact"/>
              <w:jc w:val="left"/>
            </w:pPr>
            <w:r>
              <w:t xml:space="preserve">€320.00</w:t>
            </w:r>
          </w:p>
        </w:tc>
        <w:tc>
          <w:tcPr/>
          <w:p>
            <w:pPr>
              <w:pStyle w:val="Compact"/>
              <w:jc w:val="left"/>
            </w:pPr>
            <w:r>
              <w:t xml:space="preserve">6</w:t>
            </w:r>
          </w:p>
        </w:tc>
        <w:tc>
          <w:tcPr/>
          <w:p>
            <w:pPr>
              <w:pStyle w:val="Compact"/>
              <w:jc w:val="left"/>
            </w:pPr>
            <w:r>
              <w:t xml:space="preserve">€1,920.00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€42,940.00</w:t>
            </w:r>
          </w:p>
        </w:tc>
      </w:tr>
      <w:tr>
        <w:tc>
          <w:tcPr/>
          <w:p>
            <w:pPr>
              <w:pStyle w:val="Compact"/>
              <w:jc w:val="left"/>
            </w:pPr>
            <w:r>
              <w:t xml:space="preserve">VAT (Umsatzsteuer) 19%</w:t>
            </w:r>
          </w:p>
        </w:tc>
        <w:tc>
          <w:tcPr/>
          <w:p>
            <w:pPr>
              <w:pStyle w:val="Compact"/>
              <w:jc w:val="right"/>
            </w:pPr>
            <w:r>
              <w:t xml:space="preserve">€8,158.60</w:t>
            </w:r>
          </w:p>
        </w:tc>
      </w:tr>
      <w:tr>
        <w:tc>
          <w:tcPr/>
          <w:p>
            <w:pPr>
              <w:pStyle w:val="Compact"/>
              <w:jc w:val="left"/>
            </w:pPr>
            <w:r>
              <w:t xml:space="preserve">Total Amount Due (Brutto)</w:t>
            </w:r>
          </w:p>
        </w:tc>
        <w:tc>
          <w:tcPr/>
          <w:p>
            <w:pPr>
              <w:pStyle w:val="Compact"/>
              <w:jc w:val="right"/>
            </w:pPr>
            <w:r>
              <w:t xml:space="preserve">€51,098.60</w:t>
            </w:r>
          </w:p>
        </w:tc>
      </w:tr>
    </w:tbl>
    <w:p>
      <w:pPr>
        <w:pStyle w:val="BodyText"/>
      </w:pPr>
      <w:r>
        <w:rPr>
          <w:bCs/>
          <w:b/>
        </w:rPr>
        <w:t xml:space="preserve">VAT / Umsatzsteuer Information:</w:t>
      </w:r>
      <w:r>
        <w:t xml:space="preserve"> </w:t>
      </w:r>
      <w:r>
        <w:t xml:space="preserve">This invoice is issued in accordance with German tax law (Umsatzsteuergesetz – UStG). The 19% standard VAT rate applies as both the service provider (Berlin Banker Financial Advisory GmbH) and the recipient (Meridian Industrial Holdings AG) are registered VAT taxpayers within Germany. For cross-border banking services, the reverse charge mechanism may apply where applicable under §13b UStG.</w:t>
      </w:r>
    </w:p>
    <w:bookmarkStart w:id="23" w:name="payment-instructions-important-notes"/>
    <w:p>
      <w:pPr>
        <w:pStyle w:val="Heading3"/>
      </w:pPr>
      <w:r>
        <w:t xml:space="preserve">Payment Instructions &amp; Important Notes</w:t>
      </w:r>
    </w:p>
    <w:p>
      <w:pPr>
        <w:pStyle w:val="FirstParagraph"/>
      </w:pPr>
      <w:r>
        <w:rPr>
          <w:bCs/>
          <w:b/>
        </w:rPr>
        <w:t xml:space="preserve">Bank Details for Payment (SEPA Transfer):</w:t>
      </w:r>
    </w:p>
    <w:p>
      <w:pPr>
        <w:pStyle w:val="BodyText"/>
      </w:pPr>
      <w:r>
        <w:t xml:space="preserve">Bank: Deutsche Kreditbank AG, Berlin Branch</w:t>
      </w:r>
    </w:p>
    <w:p>
      <w:pPr>
        <w:pStyle w:val="BodyText"/>
      </w:pPr>
      <w:r>
        <w:t xml:space="preserve">IBAN: DE89 1203 0000 0055 5789 21</w:t>
      </w:r>
    </w:p>
    <w:p>
      <w:pPr>
        <w:pStyle w:val="BodyText"/>
      </w:pPr>
      <w:r>
        <w:t xml:space="preserve">BIC/SWIFT: BYLADEBBXXX</w:t>
      </w:r>
    </w:p>
    <w:p>
      <w:pPr>
        <w:pStyle w:val="BodyText"/>
      </w:pPr>
      <w:r>
        <w:t xml:space="preserve">Reference: INV-BER-2025-04782 / MBF-2025-Q2-0091</w:t>
      </w:r>
    </w:p>
    <w:p>
      <w:pPr>
        <w:pStyle w:val="BodyText"/>
      </w:pPr>
      <w:r>
        <w:br/>
      </w:r>
    </w:p>
    <w:p>
      <w:pPr>
        <w:pStyle w:val="BodyText"/>
      </w:pPr>
      <w:r>
        <w:t xml:space="preserve">Please ensure that the invoice number and client reference are included in the payment reference field to facilitate accurate reconciliation by our banking department in Berlin. Payments received after the due date of 15 July 2025 will be subject to statutory late payment interest at the rate of 8 percentage points above the European Central Bank (ECB) base rate, in accordance with §288 of the German Civil Code (BGB).</w:t>
      </w:r>
    </w:p>
    <w:p>
      <w:pPr>
        <w:pStyle w:val="BodyText"/>
      </w:pPr>
      <w:r>
        <w:br/>
      </w:r>
    </w:p>
    <w:p>
      <w:pPr>
        <w:pStyle w:val="BodyText"/>
      </w:pPr>
      <w:r>
        <w:t xml:space="preserve">All banking and financial advisory services described in this invoice were performed by licensed and qualified bankers registered with the relevant German financial authorities. This invoice constitutes the final and complete statement of fees for the services rendered during the period specified. No additional charges will be incurred beyond the amounts stated herein unless a separate written amendment is agreed upon by both parties.</w:t>
      </w:r>
    </w:p>
    <w:p>
      <w:pPr>
        <w:pStyle w:val="BodyText"/>
      </w:pPr>
      <w:r>
        <w:br/>
      </w:r>
    </w:p>
    <w:p>
      <w:pPr>
        <w:pStyle w:val="BodyText"/>
      </w:pPr>
      <w:r>
        <w:t xml:space="preserve">For any queries regarding this invoice or the banking services provided, please contact our billing department at Berlin Banker Financial Advisory GmbH, Unter den Linden 87, 10117 Berlin, Germany, or by email at billing@berlinbanker-fa.de. Our banking advisory team is available Monday through Friday, 08:00–18:00 CET.</w:t>
      </w:r>
    </w:p>
    <w:bookmarkEnd w:id="23"/>
    <w:p>
      <w:pPr>
        <w:pStyle w:val="BodyText"/>
      </w:pPr>
      <w:r>
        <w:rPr>
          <w:bCs/>
          <w:b/>
        </w:rPr>
        <w:t xml:space="preserve">Berlin Banker Financial Advisory GmbH</w:t>
      </w:r>
      <w:r>
        <w:t xml:space="preserve"> </w:t>
      </w:r>
      <w:r>
        <w:t xml:space="preserve">— Professional Banking &amp; Financial Services in Germany Berlin</w:t>
      </w:r>
    </w:p>
    <w:p>
      <w:pPr>
        <w:pStyle w:val="BodyText"/>
      </w:pPr>
      <w:r>
        <w:t xml:space="preserve">Registered at Amtsgericht Charlottenburg, Berlin | HRB 184 729 B | USt-IdNr.: DE 318 472 905</w:t>
      </w:r>
    </w:p>
    <w:p>
      <w:pPr>
        <w:pStyle w:val="BodyText"/>
      </w:pPr>
      <w:r>
        <w:t xml:space="preserve">This invoice was generated electronically and is valid without a physical signature in accordance with §14b UStG (German VAT Act).</w:t>
      </w:r>
    </w:p>
    <w:p>
      <w:pPr>
        <w:pStyle w:val="BodyText"/>
      </w:pPr>
      <w:r>
        <w:t xml:space="preserve">© 2025 Berlin Banker Financial Advisory GmbH. All rights reserved. | Berlin, Germany</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Berlin Banker Financial Services</dc:title>
  <dc:creator/>
  <dc:language>en</dc:language>
  <cp:keywords/>
  <dcterms:created xsi:type="dcterms:W3CDTF">2026-10-10T08:32:15Z</dcterms:created>
  <dcterms:modified xsi:type="dcterms:W3CDTF">2026-10-10T08:32:15Z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