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Banking</w:t>
      </w:r>
      <w:r>
        <w:t xml:space="preserve"> </w:t>
      </w:r>
      <w:r>
        <w:t xml:space="preserve">Services</w:t>
      </w:r>
      <w:r>
        <w:t xml:space="preserve"> </w:t>
      </w:r>
      <w:r>
        <w:t xml:space="preserve">-</w:t>
      </w:r>
      <w:r>
        <w:t xml:space="preserve"> </w:t>
      </w:r>
      <w:r>
        <w:t xml:space="preserve">Frankfurt,</w:t>
      </w:r>
      <w:r>
        <w:t xml:space="preserve"> </w:t>
      </w:r>
      <w:r>
        <w:t xml:space="preserve">Germany</w:t>
      </w:r>
    </w:p>
    <w:bookmarkStart w:id="20" w:name="frankfurt-main-capital-bank-ag"/>
    <w:p>
      <w:pPr>
        <w:pStyle w:val="Heading1"/>
      </w:pPr>
      <w:r>
        <w:t xml:space="preserve">Frankfurt Main Capital Bank AG</w:t>
      </w:r>
    </w:p>
    <w:p>
      <w:pPr>
        <w:pStyle w:val="FirstParagraph"/>
      </w:pPr>
      <w:r>
        <w:t xml:space="preserve">Banker &amp; Financial Advisory Division</w:t>
      </w:r>
    </w:p>
    <w:p>
      <w:pPr>
        <w:pStyle w:val="BodyText"/>
      </w:pPr>
      <w:r>
        <w:t xml:space="preserve">Opernplatz 12, 60311 Frankfurt am Main, Germany</w:t>
      </w:r>
    </w:p>
    <w:p>
      <w:pPr>
        <w:pStyle w:val="BodyText"/>
      </w:pPr>
      <w:r>
        <w:t xml:space="preserve">Phone: +49 (0)69 2880-1234</w:t>
      </w:r>
    </w:p>
    <w:p>
      <w:pPr>
        <w:pStyle w:val="BodyText"/>
      </w:pPr>
      <w:r>
        <w:t xml:space="preserve">Email: billing@fmcbank.de</w:t>
      </w:r>
    </w:p>
    <w:p>
      <w:pPr>
        <w:pStyle w:val="BodyText"/>
      </w:pPr>
      <w:r>
        <w:t xml:space="preserve">USt-IdNr.: DE 294 567 890</w:t>
      </w:r>
    </w:p>
    <w:p>
      <w:pPr>
        <w:pStyle w:val="BodyText"/>
      </w:pPr>
      <w:r>
        <w:t xml:space="preserve">HRB 45210, Amtsgericht Frankfurt am Main</w:t>
      </w:r>
    </w:p>
    <w:bookmarkEnd w:id="20"/>
    <w:bookmarkStart w:id="21" w:name="invoice"/>
    <w:p>
      <w:pPr>
        <w:pStyle w:val="Heading2"/>
      </w:pPr>
      <w:r>
        <w:t xml:space="preserve">INVOICE</w:t>
      </w:r>
    </w:p>
    <w:p>
      <w:pPr>
        <w:pStyle w:val="FirstParagraph"/>
      </w:pPr>
      <w:r>
        <w:t xml:space="preserve">Rechnung</w:t>
      </w:r>
    </w:p>
    <w:p>
      <w:pPr>
        <w:pStyle w:val="BodyText"/>
      </w:pPr>
      <w:r>
        <w:t xml:space="preserve">Invoice No.: FMCB-2025-04871</w:t>
      </w:r>
    </w:p>
    <w:p>
      <w:pPr>
        <w:pStyle w:val="BodyText"/>
      </w:pPr>
      <w:r>
        <w:t xml:space="preserve">Date of Issue: 15 June 2025</w:t>
      </w:r>
    </w:p>
    <w:p>
      <w:pPr>
        <w:pStyle w:val="BodyText"/>
      </w:pPr>
      <w:r>
        <w:t xml:space="preserve">Due Date: 15 July 2025</w:t>
      </w:r>
    </w:p>
    <w:bookmarkEnd w:id="21"/>
    <w:bookmarkStart w:id="22" w:name="billed-to-kunde"/>
    <w:p>
      <w:pPr>
        <w:pStyle w:val="Heading3"/>
      </w:pPr>
      <w:r>
        <w:t xml:space="preserve">Billed To (Kunde)</w:t>
      </w:r>
    </w:p>
    <w:p>
      <w:pPr>
        <w:pStyle w:val="FirstParagraph"/>
      </w:pPr>
      <w:r>
        <w:rPr>
          <w:bCs/>
          <w:b/>
        </w:rPr>
        <w:t xml:space="preserve">Meridian Industrial Holdings GmbH</w:t>
      </w:r>
    </w:p>
    <w:p>
      <w:pPr>
        <w:pStyle w:val="BodyText"/>
      </w:pPr>
      <w:r>
        <w:t xml:space="preserve">Attn: Dr. Klaus Reinhardt, CFO</w:t>
      </w:r>
    </w:p>
    <w:p>
      <w:pPr>
        <w:pStyle w:val="BodyText"/>
      </w:pPr>
      <w:r>
        <w:t xml:space="preserve">Bockenheimer Landstraße 88</w:t>
      </w:r>
    </w:p>
    <w:p>
      <w:pPr>
        <w:pStyle w:val="BodyText"/>
      </w:pPr>
      <w:r>
        <w:t xml:space="preserve">60323 Frankfurt am Main, Germany</w:t>
      </w:r>
    </w:p>
    <w:p>
      <w:pPr>
        <w:pStyle w:val="BodyText"/>
      </w:pPr>
      <w:r>
        <w:t xml:space="preserve">VAT ID: DE 812 345 678</w:t>
      </w:r>
    </w:p>
    <w:bookmarkEnd w:id="22"/>
    <w:bookmarkStart w:id="23" w:name="service-period"/>
    <w:p>
      <w:pPr>
        <w:pStyle w:val="Heading3"/>
      </w:pPr>
      <w:r>
        <w:t xml:space="preserve">Service Period</w:t>
      </w:r>
    </w:p>
    <w:p>
      <w:pPr>
        <w:pStyle w:val="FirstParagraph"/>
      </w:pPr>
      <w:r>
        <w:t xml:space="preserve">01 May 2025 – 31 May 2025</w:t>
      </w:r>
    </w:p>
    <w:bookmarkEnd w:id="23"/>
    <w:bookmarkStart w:id="24" w:name="assigned-banker"/>
    <w:p>
      <w:pPr>
        <w:pStyle w:val="Heading3"/>
      </w:pPr>
      <w:r>
        <w:t xml:space="preserve">Assigned Banker</w:t>
      </w:r>
    </w:p>
    <w:p>
      <w:pPr>
        <w:pStyle w:val="FirstParagraph"/>
      </w:pPr>
      <w:r>
        <w:rPr>
          <w:bCs/>
          <w:b/>
        </w:rPr>
        <w:t xml:space="preserve">Dr. Anja Weber, CFA</w:t>
      </w:r>
    </w:p>
    <w:p>
      <w:pPr>
        <w:pStyle w:val="BodyText"/>
      </w:pPr>
      <w:r>
        <w:t xml:space="preserve">Senior Banker &amp; Portfolio Strategist</w:t>
      </w:r>
    </w:p>
    <w:p>
      <w:pPr>
        <w:pStyle w:val="BodyText"/>
      </w:pPr>
      <w:r>
        <w:t xml:space="preserve">Frankfurt Main Capital Bank AG</w:t>
      </w:r>
    </w:p>
    <w:bookmarkEnd w:id="24"/>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Banking Services</w:t>
            </w:r>
          </w:p>
        </w:tc>
        <w:tc>
          <w:tcPr/>
          <w:p>
            <w:pPr>
              <w:pStyle w:val="Compact"/>
              <w:jc w:val="left"/>
            </w:pPr>
            <w:r>
              <w:t xml:space="preserve">Hours / Units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rPr>
                <w:bCs/>
                <w:b/>
              </w:rPr>
              <w:t xml:space="preserve">Corporate Treasury Advisory &amp; Cash Management</w:t>
            </w:r>
          </w:p>
          <w:p>
            <w:pPr>
              <w:jc w:val="left"/>
            </w:pPr>
            <w:r>
              <w:t xml:space="preserve">Comprehensive review and restructuring of the client's multi-currency cash management operations across Frankfurt, London, and Singapore. The assigned banker conducted an in-depth analysis of daily liquidity flows, optimized sweep structures, and implemented automated intercompany settlement protocols to reduce banking fees by an estimated 12 percent. This service was delivered in accordance with the regulatory framework of the Bundesbank and the European Central Bank headquartered in Frankfurt.</w:t>
            </w:r>
          </w:p>
        </w:tc>
        <w:tc>
          <w:tcPr/>
          <w:p>
            <w:pPr>
              <w:pStyle w:val="Compact"/>
              <w:jc w:val="left"/>
            </w:pPr>
            <w:r>
              <w:t xml:space="preserve">32 hrs</w:t>
            </w:r>
          </w:p>
        </w:tc>
        <w:tc>
          <w:tcPr/>
          <w:p>
            <w:pPr>
              <w:pStyle w:val="Compact"/>
              <w:jc w:val="left"/>
            </w:pPr>
            <w:r>
              <w:t xml:space="preserve">€185.00</w:t>
            </w:r>
          </w:p>
        </w:tc>
        <w:tc>
          <w:tcPr/>
          <w:p>
            <w:pPr>
              <w:pStyle w:val="Compact"/>
              <w:jc w:val="left"/>
            </w:pPr>
            <w:r>
              <w:t xml:space="preserve">€5,920.00</w:t>
            </w:r>
          </w:p>
        </w:tc>
      </w:tr>
      <w:tr>
        <w:tc>
          <w:tcPr/>
          <w:p>
            <w:pPr>
              <w:pStyle w:val="Compact"/>
              <w:jc w:val="left"/>
            </w:pPr>
            <w:r>
              <w:t xml:space="preserve">02</w:t>
            </w:r>
          </w:p>
        </w:tc>
        <w:tc>
          <w:tcPr/>
          <w:p>
            <w:pPr>
              <w:pStyle w:val="Compact"/>
              <w:jc w:val="left"/>
            </w:pPr>
            <w:r>
              <w:rPr>
                <w:bCs/>
                <w:b/>
              </w:rPr>
              <w:t xml:space="preserve">Debt Financing Structuring &amp; Syndication Support</w:t>
            </w:r>
          </w:p>
          <w:p>
            <w:pPr>
              <w:jc w:val="left"/>
            </w:pPr>
            <w:r>
              <w:t xml:space="preserve">The banker facilitated the structuring of a €45 million senior secured term loan facility, coordinating with a syndicate of four German and international banks. Services included preparation of the term sheet, negotiation of covenants, coordination of legal documentation with external counsel in Frankfurt, and management of the syndication process through to final execution. All documentation complied with the German Civil Code (BGB) and applicable BaFin regulations governing credit institutions operating in Frankfurt am Main.</w:t>
            </w:r>
          </w:p>
        </w:tc>
        <w:tc>
          <w:tcPr/>
          <w:p>
            <w:pPr>
              <w:pStyle w:val="Compact"/>
              <w:jc w:val="left"/>
            </w:pPr>
            <w:r>
              <w:t xml:space="preserve">48 hrs</w:t>
            </w:r>
          </w:p>
        </w:tc>
        <w:tc>
          <w:tcPr/>
          <w:p>
            <w:pPr>
              <w:pStyle w:val="Compact"/>
              <w:jc w:val="left"/>
            </w:pPr>
            <w:r>
              <w:t xml:space="preserve">€210.00</w:t>
            </w:r>
          </w:p>
        </w:tc>
        <w:tc>
          <w:tcPr/>
          <w:p>
            <w:pPr>
              <w:pStyle w:val="Compact"/>
              <w:jc w:val="left"/>
            </w:pPr>
            <w:r>
              <w:t xml:space="preserve">€10,080.00</w:t>
            </w:r>
          </w:p>
        </w:tc>
      </w:tr>
      <w:tr>
        <w:tc>
          <w:tcPr/>
          <w:p>
            <w:pPr>
              <w:pStyle w:val="Compact"/>
              <w:jc w:val="left"/>
            </w:pPr>
            <w:r>
              <w:t xml:space="preserve">03</w:t>
            </w:r>
          </w:p>
        </w:tc>
        <w:tc>
          <w:tcPr/>
          <w:p>
            <w:pPr>
              <w:pStyle w:val="Compact"/>
              <w:jc w:val="left"/>
            </w:pPr>
            <w:r>
              <w:rPr>
                <w:bCs/>
                <w:b/>
              </w:rPr>
              <w:t xml:space="preserve">Foreign Exchange Hedging Strategy &amp; Implementation</w:t>
            </w:r>
          </w:p>
          <w:p>
            <w:pPr>
              <w:jc w:val="left"/>
            </w:pPr>
            <w:r>
              <w:t xml:space="preserve">Development and execution of a six-month forward and options-based hedging programme to protect the client's EUR/USD and EUR/JPY revenue streams. The banker performed scenario modelling across three macroeconomic outlooks, selected optimal hedge ratios, and executed trades through the Frankfurt Main Capital Bank FX desk. Ongoing monitoring and monthly reporting were provided throughout the service period in line with the client's risk appetite framework.</w:t>
            </w:r>
          </w:p>
        </w:tc>
        <w:tc>
          <w:tcPr/>
          <w:p>
            <w:pPr>
              <w:pStyle w:val="Compact"/>
              <w:jc w:val="left"/>
            </w:pPr>
            <w:r>
              <w:t xml:space="preserve">24 hrs</w:t>
            </w:r>
          </w:p>
        </w:tc>
        <w:tc>
          <w:tcPr/>
          <w:p>
            <w:pPr>
              <w:pStyle w:val="Compact"/>
              <w:jc w:val="left"/>
            </w:pPr>
            <w:r>
              <w:t xml:space="preserve">€195.00</w:t>
            </w:r>
          </w:p>
        </w:tc>
        <w:tc>
          <w:tcPr/>
          <w:p>
            <w:pPr>
              <w:pStyle w:val="Compact"/>
              <w:jc w:val="left"/>
            </w:pPr>
            <w:r>
              <w:t xml:space="preserve">€4,680.00</w:t>
            </w:r>
          </w:p>
        </w:tc>
      </w:tr>
      <w:tr>
        <w:tc>
          <w:tcPr/>
          <w:p>
            <w:pPr>
              <w:pStyle w:val="Compact"/>
              <w:jc w:val="left"/>
            </w:pPr>
            <w:r>
              <w:t xml:space="preserve">04</w:t>
            </w:r>
          </w:p>
        </w:tc>
        <w:tc>
          <w:tcPr/>
          <w:p>
            <w:pPr>
              <w:pStyle w:val="Compact"/>
              <w:jc w:val="left"/>
            </w:pPr>
            <w:r>
              <w:rPr>
                <w:bCs/>
                <w:b/>
              </w:rPr>
              <w:t xml:space="preserve">Regulatory Compliance &amp; AML Review</w:t>
            </w:r>
          </w:p>
          <w:p>
            <w:pPr>
              <w:jc w:val="left"/>
            </w:pPr>
            <w:r>
              <w:t xml:space="preserve">Quarterly anti-money-laundering (AML) and know-your-customer (KYC) compliance review of the client's banking relationships. The banker assessed transaction patterns against thresholds defined by the German Money Laundering Act (Geldwäschegesetz – GwG), verified beneficial ownership records, and prepared a compliance memorandum for the client's board of directors. Findings were reported in accordance with the obligations of a credit institution registered with the Bundesanstalt für Finanzdienstleistungsaufsicht (BaFin) in Frankfurt.</w:t>
            </w:r>
          </w:p>
        </w:tc>
        <w:tc>
          <w:tcPr/>
          <w:p>
            <w:pPr>
              <w:pStyle w:val="Compact"/>
              <w:jc w:val="left"/>
            </w:pPr>
            <w:r>
              <w:t xml:space="preserve">16 hrs</w:t>
            </w:r>
          </w:p>
        </w:tc>
        <w:tc>
          <w:tcPr/>
          <w:p>
            <w:pPr>
              <w:pStyle w:val="Compact"/>
              <w:jc w:val="left"/>
            </w:pPr>
            <w:r>
              <w:t xml:space="preserve">€175.00</w:t>
            </w:r>
          </w:p>
        </w:tc>
        <w:tc>
          <w:tcPr/>
          <w:p>
            <w:pPr>
              <w:pStyle w:val="Compact"/>
              <w:jc w:val="left"/>
            </w:pPr>
            <w:r>
              <w:t xml:space="preserve">€2,800.00</w:t>
            </w:r>
          </w:p>
        </w:tc>
      </w:tr>
      <w:tr>
        <w:tc>
          <w:tcPr/>
          <w:p>
            <w:pPr>
              <w:pStyle w:val="Compact"/>
              <w:jc w:val="left"/>
            </w:pPr>
            <w:r>
              <w:t xml:space="preserve">05</w:t>
            </w:r>
          </w:p>
        </w:tc>
        <w:tc>
          <w:tcPr/>
          <w:p>
            <w:pPr>
              <w:pStyle w:val="Compact"/>
              <w:jc w:val="left"/>
            </w:pPr>
            <w:r>
              <w:rPr>
                <w:bCs/>
                <w:b/>
              </w:rPr>
              <w:t xml:space="preserve">Board-Level Financial Reporting &amp; Strategic Briefing</w:t>
            </w:r>
          </w:p>
          <w:p>
            <w:pPr>
              <w:jc w:val="left"/>
            </w:pPr>
            <w:r>
              <w:t xml:space="preserve">Preparation and delivery of a quarterly strategic financial briefing to the client's executive board in Frankfurt. The banker presented consolidated banking cost analyses, capital allocation recommendations, and a forward-looking liquidity forecast for the next twelve months. The session included a detailed Q&amp;A with the CFO and CEO, followed by a written executive summary and action-item log distributed to all board members within five business days.</w:t>
            </w:r>
          </w:p>
        </w:tc>
        <w:tc>
          <w:tcPr/>
          <w:p>
            <w:pPr>
              <w:pStyle w:val="Compact"/>
              <w:jc w:val="left"/>
            </w:pPr>
            <w:r>
              <w:t xml:space="preserve">8 hrs</w:t>
            </w:r>
          </w:p>
        </w:tc>
        <w:tc>
          <w:tcPr/>
          <w:p>
            <w:pPr>
              <w:pStyle w:val="Compact"/>
              <w:jc w:val="left"/>
            </w:pPr>
            <w:r>
              <w:t xml:space="preserve">€250.00</w:t>
            </w:r>
          </w:p>
        </w:tc>
        <w:tc>
          <w:tcPr/>
          <w:p>
            <w:pPr>
              <w:pStyle w:val="Compact"/>
              <w:jc w:val="left"/>
            </w:pPr>
            <w:r>
              <w:t xml:space="preserve">€2,000.00</w:t>
            </w:r>
          </w:p>
        </w:tc>
      </w:tr>
      <w:tr>
        <w:tc>
          <w:tcPr/>
          <w:p>
            <w:pPr>
              <w:pStyle w:val="Compact"/>
              <w:jc w:val="left"/>
            </w:pPr>
            <w:r>
              <w:t xml:space="preserve">06</w:t>
            </w:r>
          </w:p>
        </w:tc>
        <w:tc>
          <w:tcPr/>
          <w:p>
            <w:pPr>
              <w:pStyle w:val="Compact"/>
              <w:jc w:val="left"/>
            </w:pPr>
            <w:r>
              <w:rPr>
                <w:bCs/>
                <w:b/>
              </w:rPr>
              <w:t xml:space="preserve">Trade Finance &amp; Letters of Credit Administration</w:t>
            </w:r>
          </w:p>
          <w:p>
            <w:pPr>
              <w:jc w:val="left"/>
            </w:pPr>
            <w:r>
              <w:t xml:space="preserve">Issuance, amendment, and settlement of three irrevocable letters of credit totalling €8.2 million for the client's import contracts with suppliers in Asia. The banker managed all documentary compliance checks, advised on UCP 600 requirements, and coordinated with correspondent banks to ensure timely presentation and payment. All operations were conducted through the Frankfurt Main Capital Bank trade finance desk in full compliance with ICC rules and German commercial law (HGB).</w:t>
            </w:r>
          </w:p>
        </w:tc>
        <w:tc>
          <w:tcPr/>
          <w:p>
            <w:pPr>
              <w:pStyle w:val="Compact"/>
              <w:jc w:val="left"/>
            </w:pPr>
            <w:r>
              <w:t xml:space="preserve">20 hrs</w:t>
            </w:r>
          </w:p>
        </w:tc>
        <w:tc>
          <w:tcPr/>
          <w:p>
            <w:pPr>
              <w:pStyle w:val="Compact"/>
              <w:jc w:val="left"/>
            </w:pPr>
            <w:r>
              <w:t xml:space="preserve">€165.00</w:t>
            </w:r>
          </w:p>
        </w:tc>
        <w:tc>
          <w:tcPr/>
          <w:p>
            <w:pPr>
              <w:pStyle w:val="Compact"/>
              <w:jc w:val="left"/>
            </w:pPr>
            <w:r>
              <w:t xml:space="preserve">€3,300.00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€28,780.00</w:t>
            </w:r>
          </w:p>
        </w:tc>
      </w:tr>
      <w:tr>
        <w:tc>
          <w:tcPr/>
          <w:p>
            <w:pPr>
              <w:pStyle w:val="Compact"/>
              <w:jc w:val="left"/>
            </w:pPr>
            <w:r>
              <w:t xml:space="preserve">VAT (Mehrwertsteuer) 19%</w:t>
            </w:r>
          </w:p>
        </w:tc>
        <w:tc>
          <w:tcPr/>
          <w:p>
            <w:pPr>
              <w:pStyle w:val="Compact"/>
              <w:jc w:val="left"/>
            </w:pPr>
            <w:r>
              <w:t xml:space="preserve">€5,468.20</w:t>
            </w:r>
          </w:p>
        </w:tc>
      </w:tr>
      <w:tr>
        <w:tc>
          <w:tcPr/>
          <w:p>
            <w:pPr>
              <w:pStyle w:val="Compact"/>
              <w:jc w:val="left"/>
            </w:pPr>
            <w:r>
              <w:t xml:space="preserve">Grand Total (Gesamtbetrag)</w:t>
            </w:r>
          </w:p>
        </w:tc>
        <w:tc>
          <w:tcPr/>
          <w:p>
            <w:pPr>
              <w:pStyle w:val="Compact"/>
              <w:jc w:val="left"/>
            </w:pPr>
            <w:r>
              <w:t xml:space="preserve">€34,248.20</w:t>
            </w:r>
          </w:p>
        </w:tc>
      </w:tr>
    </w:tbl>
    <w:bookmarkStart w:id="25" w:name="payment-terms-important-notes"/>
    <w:p>
      <w:pPr>
        <w:pStyle w:val="Heading3"/>
      </w:pPr>
      <w:r>
        <w:t xml:space="preserve">Payment Terms &amp; Important Notes</w:t>
      </w:r>
    </w:p>
    <w:p>
      <w:pPr>
        <w:pStyle w:val="FirstParagraph"/>
      </w:pPr>
      <w:r>
        <w:rPr>
          <w:bCs/>
          <w:b/>
        </w:rPr>
        <w:t xml:space="preserve">Payment Method:</w:t>
      </w:r>
      <w:r>
        <w:t xml:space="preserve"> </w:t>
      </w:r>
      <w:r>
        <w:t xml:space="preserve">Wire transfer (SEPA) to Frankfurt Main Capital Bank AG, IBAN: DE89 3704 0044 0532 0130 00, BIC: COBADEFFXXX, Bankleitzahl: 37040044.</w:t>
      </w:r>
    </w:p>
    <w:p>
      <w:pPr>
        <w:pStyle w:val="BodyText"/>
      </w:pPr>
      <w:r>
        <w:rPr>
          <w:bCs/>
          <w:b/>
        </w:rPr>
        <w:t xml:space="preserve">Payment Due:</w:t>
      </w:r>
      <w:r>
        <w:t xml:space="preserve"> </w:t>
      </w:r>
      <w:r>
        <w:t xml:space="preserve">Full payment of €34,248.20 is due within 30 calendar days of the invoice date, i.e., by 15 July 2025. Late payments are subject to statutory interest at the rate of 8 percentage points above the ECB base rate as per § 288 BGB.</w:t>
      </w:r>
    </w:p>
    <w:p>
      <w:pPr>
        <w:pStyle w:val="BodyText"/>
      </w:pPr>
      <w:r>
        <w:rPr>
          <w:bCs/>
          <w:b/>
        </w:rPr>
        <w:t xml:space="preserve">Tax Note:</w:t>
      </w:r>
      <w:r>
        <w:t xml:space="preserve"> </w:t>
      </w:r>
      <w:r>
        <w:t xml:space="preserve">This invoice is issued under the reverse-charge mechanism provisions of § 13b UStG where applicable. The VAT shown is for informational purposes; the recipient is responsible for self-assessment if both parties are registered VAT taxpayers in Germany.</w:t>
      </w:r>
    </w:p>
    <w:p>
      <w:pPr>
        <w:pStyle w:val="BodyText"/>
      </w:pPr>
      <w:r>
        <w:rPr>
          <w:bCs/>
          <w:b/>
        </w:rPr>
        <w:t xml:space="preserve">Banker Certification:</w:t>
      </w:r>
      <w:r>
        <w:t xml:space="preserve"> </w:t>
      </w:r>
      <w:r>
        <w:t xml:space="preserve">This invoice has been prepared and certified by Dr. Anja Weber, Senior Banker, Frankfurt Main Capital Bank AG, in her capacity as the designated relationship banker for Meridian Industrial Holdings GmbH. All services were rendered in Frankfurt am Main, Germany, in accordance with the terms of the Master Banking Services Agreement dated 12 January 2025.</w:t>
      </w:r>
    </w:p>
    <w:p>
      <w:pPr>
        <w:pStyle w:val="BodyText"/>
      </w:pPr>
      <w:r>
        <w:rPr>
          <w:bCs/>
          <w:b/>
        </w:rPr>
        <w:t xml:space="preserve">Dispute Resolution:</w:t>
      </w:r>
      <w:r>
        <w:t xml:space="preserve"> </w:t>
      </w:r>
      <w:r>
        <w:t xml:space="preserve">Any disputes arising from this invoice shall be governed by the laws of the Federal Republic of Germany. The exclusive court of jurisdiction is the Local Court (Amtsgericht) Frankfurt am Main, unless otherwise mandated by EU regulations.</w:t>
      </w:r>
    </w:p>
    <w:bookmarkEnd w:id="25"/>
    <w:p>
      <w:pPr>
        <w:pStyle w:val="BodyText"/>
      </w:pPr>
      <w:r>
        <w:rPr>
          <w:bCs/>
          <w:b/>
        </w:rPr>
        <w:t xml:space="preserve">Frankfurt Main Capital Bank AG</w:t>
      </w:r>
      <w:r>
        <w:t xml:space="preserve"> </w:t>
      </w:r>
      <w:r>
        <w:t xml:space="preserve">– Banker &amp; Financial Advisory Division</w:t>
      </w:r>
    </w:p>
    <w:p>
      <w:pPr>
        <w:pStyle w:val="BodyText"/>
      </w:pPr>
      <w:r>
        <w:t xml:space="preserve">Opernplatz 12, 60311 Frankfurt am Main, Germany | USt-IdNr.: DE 294 567 890 | HRB 45210</w:t>
      </w:r>
    </w:p>
    <w:p>
      <w:pPr>
        <w:pStyle w:val="BodyText"/>
      </w:pPr>
      <w:r>
        <w:t xml:space="preserve">Supervised by the Bundesanstalt für Finanzdienstleistungsaufsicht (BaFin), Graurheindorfer Str. 108, 53117 Bonn, Germany</w:t>
      </w:r>
    </w:p>
    <w:p>
      <w:pPr>
        <w:pStyle w:val="BodyText"/>
      </w:pPr>
      <w:r>
        <w:t xml:space="preserve">Member of the German Banking Association (Deutscher Bankenverband), Berlin</w:t>
      </w:r>
    </w:p>
    <w:p>
      <w:pPr>
        <w:pStyle w:val="BodyText"/>
      </w:pPr>
      <w:r>
        <w:t xml:space="preserve">This invoice was generated electronically and is valid without a physical signature pursuant to § 126a BGB. For queries, contact billing@fmcbank.de or +49 (0)69 2880-1234.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Banking Services - Frankfurt, Germany</dc:title>
  <dc:creator/>
  <dc:language>en</dc:language>
  <cp:keywords/>
  <dcterms:created xsi:type="dcterms:W3CDTF">2026-10-10T07:01:03Z</dcterms:created>
  <dcterms:modified xsi:type="dcterms:W3CDTF">2026-10-10T07:01:03Z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