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munich-financial-advisory-gmbh"/>
    <w:p>
      <w:pPr>
        <w:pStyle w:val="Heading1"/>
      </w:pPr>
      <w:r>
        <w:t xml:space="preserve">Munich Financial Advisory GmbH</w:t>
      </w:r>
    </w:p>
    <w:p>
      <w:pPr>
        <w:pStyle w:val="FirstParagraph"/>
      </w:pPr>
      <w:r>
        <w:t xml:space="preserve">Banker &amp; Financial Consultant Services</w:t>
      </w:r>
    </w:p>
    <w:p>
      <w:pPr>
        <w:pStyle w:val="BodyText"/>
      </w:pPr>
      <w:r>
        <w:t xml:space="preserve">Maximilianstraße 42, 80539 Munich, Germany</w:t>
      </w:r>
    </w:p>
    <w:p>
      <w:pPr>
        <w:pStyle w:val="BodyText"/>
      </w:pPr>
      <w:r>
        <w:t xml:space="preserve">Phone: +49 89 1234 5678</w:t>
      </w:r>
    </w:p>
    <w:p>
      <w:pPr>
        <w:pStyle w:val="BodyText"/>
      </w:pPr>
      <w:r>
        <w:t xml:space="preserve">Email: invoices@munichfinancial.de</w:t>
      </w:r>
    </w:p>
    <w:p>
      <w:pPr>
        <w:pStyle w:val="BodyText"/>
      </w:pPr>
      <w:r>
        <w:t xml:space="preserve">VAT ID: DE 312 456 789</w:t>
      </w:r>
    </w:p>
    <w:p>
      <w:pPr>
        <w:pStyle w:val="BodyText"/>
      </w:pPr>
      <w:r>
        <w:t xml:space="preserve">HRB 123456, District Court of Munich</w:t>
      </w:r>
    </w:p>
    <w:bookmarkEnd w:id="20"/>
    <w:bookmarkStart w:id="21" w:name="invoice"/>
    <w:p>
      <w:pPr>
        <w:pStyle w:val="Heading2"/>
      </w:pPr>
      <w:r>
        <w:t xml:space="preserve">INVOICE</w:t>
      </w:r>
    </w:p>
    <w:p>
      <w:pPr>
        <w:pStyle w:val="FirstParagraph"/>
      </w:pPr>
      <w:r>
        <w:t xml:space="preserve">Germany Munich</w:t>
      </w:r>
    </w:p>
    <w:p>
      <w:pPr>
        <w:pStyle w:val="BodyText"/>
      </w:pPr>
      <w:r>
        <w:t xml:space="preserve">Invoice No.: INV-2025-0847</w:t>
      </w:r>
    </w:p>
    <w:p>
      <w:pPr>
        <w:pStyle w:val="BodyText"/>
      </w:pPr>
      <w:r>
        <w:t xml:space="preserve">Date of Issue: 15 June 2025</w:t>
      </w:r>
    </w:p>
    <w:p>
      <w:pPr>
        <w:pStyle w:val="BodyText"/>
      </w:pPr>
      <w:r>
        <w:t xml:space="preserve">Due Date: 15 July 2025</w:t>
      </w:r>
    </w:p>
    <w:bookmarkEnd w:id="21"/>
    <w:bookmarkStart w:id="22" w:name="billed-to-client"/>
    <w:p>
      <w:pPr>
        <w:pStyle w:val="Heading3"/>
      </w:pPr>
      <w:r>
        <w:t xml:space="preserve">Billed To (Client)</w:t>
      </w:r>
    </w:p>
    <w:p>
      <w:pPr>
        <w:pStyle w:val="FirstParagraph"/>
      </w:pPr>
      <w:r>
        <w:rPr>
          <w:bCs/>
          <w:b/>
        </w:rPr>
        <w:t xml:space="preserve">Dr. Heinrich Vogel</w:t>
      </w:r>
    </w:p>
    <w:p>
      <w:pPr>
        <w:pStyle w:val="BodyText"/>
      </w:pPr>
      <w:r>
        <w:t xml:space="preserve">Vogel Industrial Holdings AG</w:t>
      </w:r>
    </w:p>
    <w:p>
      <w:pPr>
        <w:pStyle w:val="BodyText"/>
      </w:pPr>
      <w:r>
        <w:t xml:space="preserve">Ludwigstraße 18</w:t>
      </w:r>
    </w:p>
    <w:p>
      <w:pPr>
        <w:pStyle w:val="BodyText"/>
      </w:pPr>
      <w:r>
        <w:t xml:space="preserve">80539 Munich, Germany</w:t>
      </w:r>
    </w:p>
    <w:p>
      <w:pPr>
        <w:pStyle w:val="BodyText"/>
      </w:pPr>
      <w:r>
        <w:t xml:space="preserve">VAT ID: DE 298 765 431</w:t>
      </w:r>
    </w:p>
    <w:bookmarkEnd w:id="22"/>
    <w:bookmarkStart w:id="23" w:name="service-provider"/>
    <w:p>
      <w:pPr>
        <w:pStyle w:val="Heading3"/>
      </w:pPr>
      <w:r>
        <w:t xml:space="preserve">Service Provider</w:t>
      </w:r>
    </w:p>
    <w:p>
      <w:pPr>
        <w:pStyle w:val="FirstParagraph"/>
      </w:pPr>
      <w:r>
        <w:rPr>
          <w:bCs/>
          <w:b/>
        </w:rPr>
        <w:t xml:space="preserve">Mr. Klaus Reinhardt, CFA</w:t>
      </w:r>
    </w:p>
    <w:p>
      <w:pPr>
        <w:pStyle w:val="BodyText"/>
      </w:pPr>
      <w:r>
        <w:t xml:space="preserve">Senior Banker &amp; Portfolio Strategist</w:t>
      </w:r>
    </w:p>
    <w:p>
      <w:pPr>
        <w:pStyle w:val="BodyText"/>
      </w:pPr>
      <w:r>
        <w:t xml:space="preserve">Munich Financial Advisory GmbH</w:t>
      </w:r>
    </w:p>
    <w:p>
      <w:pPr>
        <w:pStyle w:val="BodyText"/>
      </w:pPr>
      <w:r>
        <w:t xml:space="preserve">Maximilianstraße 42</w:t>
      </w:r>
    </w:p>
    <w:p>
      <w:pPr>
        <w:pStyle w:val="BodyText"/>
      </w:pPr>
      <w:r>
        <w:t xml:space="preserve">80539 Munich, Germany</w:t>
      </w:r>
    </w:p>
    <w:bookmarkEnd w:id="23"/>
    <w:bookmarkStart w:id="24" w:name="payment-details"/>
    <w:p>
      <w:pPr>
        <w:pStyle w:val="Heading3"/>
      </w:pPr>
      <w:r>
        <w:t xml:space="preserve">Payment Details</w:t>
      </w:r>
    </w:p>
    <w:p>
      <w:pPr>
        <w:pStyle w:val="FirstParagraph"/>
      </w:pPr>
      <w:r>
        <w:t xml:space="preserve">Bank: BayernLB</w:t>
      </w:r>
    </w:p>
    <w:p>
      <w:pPr>
        <w:pStyle w:val="BodyText"/>
      </w:pPr>
      <w:r>
        <w:t xml:space="preserve">IBAN: DE89 7505 0000 0000 0000 00</w:t>
      </w:r>
    </w:p>
    <w:p>
      <w:pPr>
        <w:pStyle w:val="BodyText"/>
      </w:pPr>
      <w:r>
        <w:t xml:space="preserve">BIC: BYLADEM1001</w:t>
      </w:r>
    </w:p>
    <w:p>
      <w:pPr>
        <w:pStyle w:val="BodyText"/>
      </w:pPr>
      <w:r>
        <w:t xml:space="preserve">Reference: INV-2025-0847</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Banker Services Rendered</w:t>
            </w:r>
          </w:p>
        </w:tc>
        <w:tc>
          <w:tcPr/>
          <w:p>
            <w:pPr>
              <w:pStyle w:val="Compact"/>
              <w:jc w:val="left"/>
            </w:pPr>
            <w:r>
              <w:t xml:space="preserve">Period</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Comprehensive corporate banking strategy consultation for Vogel Industrial Holdings AG, including liquidity management review and capital structure optimization conducted by the assigned Banker in Munich, Germany.</w:t>
            </w:r>
          </w:p>
        </w:tc>
        <w:tc>
          <w:tcPr/>
          <w:p>
            <w:pPr>
              <w:pStyle w:val="Compact"/>
              <w:jc w:val="left"/>
            </w:pPr>
            <w:r>
              <w:t xml:space="preserve">Jan – Mar 2025</w:t>
            </w:r>
          </w:p>
        </w:tc>
        <w:tc>
          <w:tcPr/>
          <w:p>
            <w:pPr>
              <w:pStyle w:val="Compact"/>
              <w:jc w:val="left"/>
            </w:pPr>
            <w:r>
              <w:t xml:space="preserve">€220.00</w:t>
            </w:r>
          </w:p>
        </w:tc>
        <w:tc>
          <w:tcPr/>
          <w:p>
            <w:pPr>
              <w:pStyle w:val="Compact"/>
              <w:jc w:val="left"/>
            </w:pPr>
            <w:r>
              <w:t xml:space="preserve">48</w:t>
            </w:r>
          </w:p>
        </w:tc>
        <w:tc>
          <w:tcPr/>
          <w:p>
            <w:pPr>
              <w:pStyle w:val="Compact"/>
              <w:jc w:val="left"/>
            </w:pPr>
            <w:r>
              <w:t xml:space="preserve">€10,560.00</w:t>
            </w:r>
          </w:p>
        </w:tc>
      </w:tr>
      <w:tr>
        <w:tc>
          <w:tcPr/>
          <w:p>
            <w:pPr>
              <w:pStyle w:val="Compact"/>
              <w:jc w:val="left"/>
            </w:pPr>
            <w:r>
              <w:t xml:space="preserve">2</w:t>
            </w:r>
          </w:p>
        </w:tc>
        <w:tc>
          <w:tcPr/>
          <w:p>
            <w:pPr>
              <w:pStyle w:val="Compact"/>
              <w:jc w:val="left"/>
            </w:pPr>
            <w:r>
              <w:t xml:space="preserve">Quarterly portfolio rebalancing and risk assessment performed by the senior Banker, including analysis of fixed-income instruments, equity positions, and derivative hedges held by the client in the Germany Munich financial district.</w:t>
            </w:r>
          </w:p>
        </w:tc>
        <w:tc>
          <w:tcPr/>
          <w:p>
            <w:pPr>
              <w:pStyle w:val="Compact"/>
              <w:jc w:val="left"/>
            </w:pPr>
            <w:r>
              <w:t xml:space="preserve">Apr – Jun 2025</w:t>
            </w:r>
          </w:p>
        </w:tc>
        <w:tc>
          <w:tcPr/>
          <w:p>
            <w:pPr>
              <w:pStyle w:val="Compact"/>
              <w:jc w:val="left"/>
            </w:pPr>
            <w:r>
              <w:t xml:space="preserve">€220.00</w:t>
            </w:r>
          </w:p>
        </w:tc>
        <w:tc>
          <w:tcPr/>
          <w:p>
            <w:pPr>
              <w:pStyle w:val="Compact"/>
              <w:jc w:val="left"/>
            </w:pPr>
            <w:r>
              <w:t xml:space="preserve">36</w:t>
            </w:r>
          </w:p>
        </w:tc>
        <w:tc>
          <w:tcPr/>
          <w:p>
            <w:pPr>
              <w:pStyle w:val="Compact"/>
              <w:jc w:val="left"/>
            </w:pPr>
            <w:r>
              <w:t xml:space="preserve">€7,920.00</w:t>
            </w:r>
          </w:p>
        </w:tc>
      </w:tr>
      <w:tr>
        <w:tc>
          <w:tcPr/>
          <w:p>
            <w:pPr>
              <w:pStyle w:val="Compact"/>
              <w:jc w:val="left"/>
            </w:pPr>
            <w:r>
              <w:t xml:space="preserve">3</w:t>
            </w:r>
          </w:p>
        </w:tc>
        <w:tc>
          <w:tcPr/>
          <w:p>
            <w:pPr>
              <w:pStyle w:val="Compact"/>
              <w:jc w:val="left"/>
            </w:pPr>
            <w:r>
              <w:t xml:space="preserve">Advisory services on cross-border banking regulations (BaFin compliance) and preparation of regulatory filings for the client's operations in Germany Munich and the broader European Economic Area.</w:t>
            </w:r>
          </w:p>
        </w:tc>
        <w:tc>
          <w:tcPr/>
          <w:p>
            <w:pPr>
              <w:pStyle w:val="Compact"/>
              <w:jc w:val="left"/>
            </w:pPr>
            <w:r>
              <w:t xml:space="preserve">Apr – Jun 2025</w:t>
            </w:r>
          </w:p>
        </w:tc>
        <w:tc>
          <w:tcPr/>
          <w:p>
            <w:pPr>
              <w:pStyle w:val="Compact"/>
              <w:jc w:val="left"/>
            </w:pPr>
            <w:r>
              <w:t xml:space="preserve">€195.00</w:t>
            </w:r>
          </w:p>
        </w:tc>
        <w:tc>
          <w:tcPr/>
          <w:p>
            <w:pPr>
              <w:pStyle w:val="Compact"/>
              <w:jc w:val="left"/>
            </w:pPr>
            <w:r>
              <w:t xml:space="preserve">24</w:t>
            </w:r>
          </w:p>
        </w:tc>
        <w:tc>
          <w:tcPr/>
          <w:p>
            <w:pPr>
              <w:pStyle w:val="Compact"/>
              <w:jc w:val="left"/>
            </w:pPr>
            <w:r>
              <w:t xml:space="preserve">€4,680.00</w:t>
            </w:r>
          </w:p>
        </w:tc>
      </w:tr>
      <w:tr>
        <w:tc>
          <w:tcPr/>
          <w:p>
            <w:pPr>
              <w:pStyle w:val="Compact"/>
              <w:jc w:val="left"/>
            </w:pPr>
            <w:r>
              <w:t xml:space="preserve">4</w:t>
            </w:r>
          </w:p>
        </w:tc>
        <w:tc>
          <w:tcPr/>
          <w:p>
            <w:pPr>
              <w:pStyle w:val="Compact"/>
              <w:jc w:val="left"/>
            </w:pPr>
            <w:r>
              <w:t xml:space="preserve">Facilitation of a syndicated loan arrangement with three German commercial banks, including term sheet negotiation, credit facility documentation, and closing coordination. The Banker served as lead advisor throughout the transaction.</w:t>
            </w:r>
          </w:p>
        </w:tc>
        <w:tc>
          <w:tcPr/>
          <w:p>
            <w:pPr>
              <w:pStyle w:val="Compact"/>
              <w:jc w:val="left"/>
            </w:pPr>
            <w:r>
              <w:t xml:space="preserve">May 2025</w:t>
            </w:r>
          </w:p>
        </w:tc>
        <w:tc>
          <w:tcPr/>
          <w:p>
            <w:pPr>
              <w:pStyle w:val="Compact"/>
              <w:jc w:val="left"/>
            </w:pPr>
            <w:r>
              <w:t xml:space="preserve">€250.00</w:t>
            </w:r>
          </w:p>
        </w:tc>
        <w:tc>
          <w:tcPr/>
          <w:p>
            <w:pPr>
              <w:pStyle w:val="Compact"/>
              <w:jc w:val="left"/>
            </w:pPr>
            <w:r>
              <w:t xml:space="preserve">32</w:t>
            </w:r>
          </w:p>
        </w:tc>
        <w:tc>
          <w:tcPr/>
          <w:p>
            <w:pPr>
              <w:pStyle w:val="Compact"/>
              <w:jc w:val="left"/>
            </w:pPr>
            <w:r>
              <w:t xml:space="preserve">€8,000.00</w:t>
            </w:r>
          </w:p>
        </w:tc>
      </w:tr>
      <w:tr>
        <w:tc>
          <w:tcPr/>
          <w:p>
            <w:pPr>
              <w:pStyle w:val="Compact"/>
              <w:jc w:val="left"/>
            </w:pPr>
            <w:r>
              <w:t xml:space="preserve">5</w:t>
            </w:r>
          </w:p>
        </w:tc>
        <w:tc>
          <w:tcPr/>
          <w:p>
            <w:pPr>
              <w:pStyle w:val="Compact"/>
              <w:jc w:val="left"/>
            </w:pPr>
            <w:r>
              <w:t xml:space="preserve">Preparation of the annual financial review presentation for the client's board of directors, including cash flow forecasting, debt maturity analysis, and strategic banking relationship recommendations specific to the Germany Munich market.</w:t>
            </w:r>
          </w:p>
        </w:tc>
        <w:tc>
          <w:tcPr/>
          <w:p>
            <w:pPr>
              <w:pStyle w:val="Compact"/>
              <w:jc w:val="left"/>
            </w:pPr>
            <w:r>
              <w:t xml:space="preserve">Jun 2025</w:t>
            </w:r>
          </w:p>
        </w:tc>
        <w:tc>
          <w:tcPr/>
          <w:p>
            <w:pPr>
              <w:pStyle w:val="Compact"/>
              <w:jc w:val="left"/>
            </w:pPr>
            <w:r>
              <w:t xml:space="preserve">€220.00</w:t>
            </w:r>
          </w:p>
        </w:tc>
        <w:tc>
          <w:tcPr/>
          <w:p>
            <w:pPr>
              <w:pStyle w:val="Compact"/>
              <w:jc w:val="left"/>
            </w:pPr>
            <w:r>
              <w:t xml:space="preserve">16</w:t>
            </w:r>
          </w:p>
        </w:tc>
        <w:tc>
          <w:tcPr/>
          <w:p>
            <w:pPr>
              <w:pStyle w:val="Compact"/>
              <w:jc w:val="left"/>
            </w:pPr>
            <w:r>
              <w:t xml:space="preserve">€3,520.00</w:t>
            </w:r>
          </w:p>
        </w:tc>
      </w:tr>
      <w:tr>
        <w:tc>
          <w:tcPr/>
          <w:p>
            <w:pPr>
              <w:pStyle w:val="Compact"/>
              <w:jc w:val="left"/>
            </w:pPr>
            <w:r>
              <w:t xml:space="preserve">6</w:t>
            </w:r>
          </w:p>
        </w:tc>
        <w:tc>
          <w:tcPr/>
          <w:p>
            <w:pPr>
              <w:pStyle w:val="Compact"/>
              <w:jc w:val="left"/>
            </w:pPr>
            <w:r>
              <w:t xml:space="preserve">Travel and accommodation expenses incurred by the Banker for on-site meetings at the client's headquarters in Munich, Germany, as well as attendance at the Munich Financial Summit 2025.</w:t>
            </w:r>
          </w:p>
        </w:tc>
        <w:tc>
          <w:tcPr/>
          <w:p>
            <w:pPr>
              <w:pStyle w:val="Compact"/>
              <w:jc w:val="left"/>
            </w:pPr>
            <w:r>
              <w:t xml:space="preserve">Jan – Jun 2025</w:t>
            </w:r>
          </w:p>
        </w:tc>
        <w:tc>
          <w:tcPr>
            <w:gridSpan w:val="2"/>
          </w:tcPr>
          <w:p>
            <w:pPr>
              <w:pStyle w:val="Compact"/>
              <w:jc w:val="left"/>
            </w:pPr>
            <w:r>
              <w:t xml:space="preserve">Flat fee</w:t>
            </w:r>
          </w:p>
        </w:tc>
        <w:tc>
          <w:tcPr/>
          <w:p>
            <w:pPr>
              <w:pStyle w:val="Compact"/>
              <w:jc w:val="left"/>
            </w:pPr>
            <w:r>
              <w:t xml:space="preserve">€1,240.00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€35,920.00</w:t>
            </w:r>
          </w:p>
        </w:tc>
      </w:tr>
      <w:tr>
        <w:tc>
          <w:tcPr/>
          <w:p>
            <w:pPr>
              <w:pStyle w:val="Compact"/>
              <w:jc w:val="left"/>
            </w:pPr>
            <w:r>
              <w:t xml:space="preserve">VAT (19% – Germany Munich standard rate)</w:t>
            </w:r>
          </w:p>
        </w:tc>
        <w:tc>
          <w:tcPr/>
          <w:p>
            <w:pPr>
              <w:pStyle w:val="Compact"/>
              <w:jc w:val="right"/>
            </w:pPr>
            <w:r>
              <w:t xml:space="preserve">€6,824.80</w:t>
            </w:r>
          </w:p>
        </w:tc>
      </w:tr>
      <w:tr>
        <w:tc>
          <w:tcPr/>
          <w:p>
            <w:pPr>
              <w:pStyle w:val="Compact"/>
              <w:jc w:val="left"/>
            </w:pPr>
            <w:r>
              <w:t xml:space="preserve">Discount (Early payment – 2%)</w:t>
            </w:r>
          </w:p>
        </w:tc>
        <w:tc>
          <w:tcPr/>
          <w:p>
            <w:pPr>
              <w:pStyle w:val="Compact"/>
              <w:jc w:val="right"/>
            </w:pPr>
            <w:r>
              <w:t xml:space="preserve">-€718.40</w:t>
            </w:r>
          </w:p>
        </w:tc>
      </w:tr>
      <w:tr>
        <w:tc>
          <w:tcPr/>
          <w:p>
            <w:pPr>
              <w:pStyle w:val="Compact"/>
              <w:jc w:val="left"/>
            </w:pPr>
            <w:r>
              <w:t xml:space="preserve">Total Amount Due</w:t>
            </w:r>
          </w:p>
        </w:tc>
        <w:tc>
          <w:tcPr/>
          <w:p>
            <w:pPr>
              <w:pStyle w:val="Compact"/>
              <w:jc w:val="right"/>
            </w:pPr>
            <w:r>
              <w:t xml:space="preserve">€42,026.40</w:t>
            </w:r>
          </w:p>
        </w:tc>
      </w:tr>
    </w:tbl>
    <w:bookmarkStart w:id="25" w:name="invoice-terms-conditions"/>
    <w:p>
      <w:pPr>
        <w:pStyle w:val="Heading3"/>
      </w:pPr>
      <w:r>
        <w:t xml:space="preserve">Invoice Terms &amp; Conditions</w:t>
      </w:r>
    </w:p>
    <w:p>
      <w:pPr>
        <w:pStyle w:val="FirstParagraph"/>
      </w:pPr>
      <w:r>
        <w:t xml:space="preserve">This Invoice is issued by Munich Financial Advisory GmbH in accordance with the German Commercial Code (Handelsgesetzbuch) and the applicable provisions of the German Civil Code (Bürgerliches Gesetzbuch). The services described herein were rendered by a qualified Banker registered with the relevant professional bodies in Germany Munich.</w:t>
      </w:r>
    </w:p>
    <w:p>
      <w:pPr>
        <w:numPr>
          <w:ilvl w:val="0"/>
          <w:numId w:val="1001"/>
        </w:numPr>
        <w:pStyle w:val="Compact"/>
      </w:pPr>
      <w:r>
        <w:t xml:space="preserve">Payment is due within 30 calendar days of the Invoice issue date via bank transfer to the IBAN specified above. Please reference Invoice number INV-2025-0847 in all correspondence.</w:t>
      </w:r>
    </w:p>
    <w:p>
      <w:pPr>
        <w:numPr>
          <w:ilvl w:val="0"/>
          <w:numId w:val="1001"/>
        </w:numPr>
        <w:pStyle w:val="Compact"/>
      </w:pPr>
      <w:r>
        <w:t xml:space="preserve">In the event of late payment, interest at the statutory rate of 8 percentage points above the European Central Bank base rate shall apply, in accordance with Section 288 of the German Civil Code.</w:t>
      </w:r>
    </w:p>
    <w:p>
      <w:pPr>
        <w:numPr>
          <w:ilvl w:val="0"/>
          <w:numId w:val="1001"/>
        </w:numPr>
        <w:pStyle w:val="Compact"/>
      </w:pPr>
      <w:r>
        <w:t xml:space="preserve">The Banker reserves the right to suspend ongoing advisory services if payment is not received within 14 days of the due date. This Invoice does not constitute a waiver of any rights under the master service agreement dated 1 January 2025.</w:t>
      </w:r>
    </w:p>
    <w:p>
      <w:pPr>
        <w:numPr>
          <w:ilvl w:val="0"/>
          <w:numId w:val="1001"/>
        </w:numPr>
        <w:pStyle w:val="Compact"/>
      </w:pPr>
      <w:r>
        <w:t xml:space="preserve">All financial data and client information processed in connection with this Invoice are subject to the General Data Protection Regulation (GDPR) and the German Federal Data Protection Act (BDSG). The Banker and Munich Financial Advisory GmbH are committed to the highest standards of data security and confidentiality as required by German banking law.</w:t>
      </w:r>
    </w:p>
    <w:p>
      <w:pPr>
        <w:numPr>
          <w:ilvl w:val="0"/>
          <w:numId w:val="1001"/>
        </w:numPr>
        <w:pStyle w:val="Compact"/>
      </w:pPr>
      <w:r>
        <w:t xml:space="preserve">This Invoice is valid for the tax year 2025 in Germany Munich. A duplicate Invoice may be requested in writing by the client. In case of dispute, the courts of Munich, Germany shall have exclusive jurisdiction.</w:t>
      </w:r>
    </w:p>
    <w:bookmarkEnd w:id="25"/>
    <w:p>
      <w:pPr>
        <w:pStyle w:val="FirstParagraph"/>
      </w:pPr>
      <w:r>
        <w:rPr>
          <w:bCs/>
          <w:b/>
        </w:rPr>
        <w:t xml:space="preserve">Regulatory Disclosure:</w:t>
      </w:r>
      <w:r>
        <w:t xml:space="preserve"> </w:t>
      </w:r>
      <w:r>
        <w:t xml:space="preserve">Munich Financial Advisory GmbH is authorized and supervised by the Federal Financial Supervisory Authority (Bundesanstalt für Finanzdienstleistungsaufsicht – BaFin), Graurheindorfer Str. 108, 53117 Bonn, Germany. The Banker named on this Invoice holds a valid professional license for financial advisory services in Germany Munich and the European Union.</w:t>
      </w:r>
    </w:p>
    <w:p>
      <w:pPr>
        <w:pStyle w:val="BodyText"/>
      </w:pPr>
      <w:r>
        <w:rPr>
          <w:bCs/>
          <w:b/>
        </w:rPr>
        <w:t xml:space="preserve">Tax Note:</w:t>
      </w:r>
      <w:r>
        <w:t xml:space="preserve"> </w:t>
      </w:r>
      <w:r>
        <w:t xml:space="preserve">This Invoice has been issued in accordance with Section 14 of the German VAT Act (Umsatzsteuergesetz – UStG). The 19% VAT rate applicable in Germany Munich has been applied to all taxable services. If the client is a registered VAT payer in Germany, the reverse-charge mechanism does not apply as both parties are established in Germany Munich.</w:t>
      </w:r>
    </w:p>
    <w:p>
      <w:pPr>
        <w:pStyle w:val="BodyText"/>
      </w:pPr>
      <w:r>
        <w:rPr>
          <w:bCs/>
          <w:b/>
        </w:rPr>
        <w:t xml:space="preserve">Record Keeping:</w:t>
      </w:r>
      <w:r>
        <w:t xml:space="preserve"> </w:t>
      </w:r>
      <w:r>
        <w:t xml:space="preserve">In compliance with German commercial law, this Invoice and all supporting documentation must be retained for a minimum of ten (10) years by both the issuing Banker's firm and the client.</w:t>
      </w:r>
    </w:p>
    <w:p>
      <w:pPr>
        <w:pStyle w:val="BodyText"/>
      </w:pPr>
      <w:r>
        <w:t xml:space="preserve">Munich Financial Advisory GmbH — Banker &amp; Financial Consultant Services — Germany Munich</w:t>
      </w:r>
    </w:p>
    <w:p>
      <w:pPr>
        <w:pStyle w:val="BodyText"/>
      </w:pPr>
      <w:r>
        <w:t xml:space="preserve">Maximilianstraße 42, 80539 Munich, Germany • VAT ID: DE 312 456 789 • HRB 123456</w:t>
      </w:r>
    </w:p>
    <w:p>
      <w:pPr>
        <w:pStyle w:val="BodyText"/>
      </w:pPr>
      <w:r>
        <w:t xml:space="preserve">This Invoice was generated electronically and is valid without a physical signature pursuant to Section 126a of the German Civil Code.</w:t>
      </w:r>
    </w:p>
    <w:p>
      <w:pPr>
        <w:pStyle w:val="BodyText"/>
      </w:pPr>
      <w:r>
        <w:t xml:space="preserve">© 2025 Munich Financial Advisory GmbH. All rights reserved. Invoice INV-2025-0847.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Germany Munich</dc:title>
  <dc:creator/>
  <dc:language>en</dc:language>
  <cp:keywords/>
  <dcterms:created xsi:type="dcterms:W3CDTF">2026-10-10T06:39:22Z</dcterms:created>
  <dcterms:modified xsi:type="dcterms:W3CDTF">2026-10-10T06:39:22Z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