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Indonesia</w:t>
      </w:r>
      <w:r>
        <w:t xml:space="preserve"> </w:t>
      </w:r>
      <w:r>
        <w:t xml:space="preserve">Jakarta</w:t>
      </w:r>
    </w:p>
    <w:p>
      <w:pPr>
        <w:pStyle w:val="FirstParagraph"/>
      </w:pPr>
      <w:r>
        <w:t xml:space="preserve">INVOICE</w:t>
      </w:r>
    </w:p>
    <w:p>
      <w:pPr>
        <w:pStyle w:val="BodyText"/>
      </w:pPr>
      <w:r>
        <w:t xml:space="preserve">Professional Banking &amp; Financial Advisory Services</w:t>
      </w:r>
    </w:p>
    <w:p>
      <w:pPr>
        <w:pStyle w:val="BodyText"/>
      </w:pPr>
      <w:r>
        <w:t xml:space="preserve">Indonesia Jakarta</w:t>
      </w:r>
    </w:p>
    <w:p>
      <w:pPr>
        <w:pStyle w:val="BodyText"/>
      </w:pPr>
      <w:r>
        <w:rPr>
          <w:bCs/>
          <w:b/>
        </w:rPr>
        <w:t xml:space="preserve">Invoice No.:</w:t>
      </w:r>
      <w:r>
        <w:t xml:space="preserve"> </w:t>
      </w:r>
      <w:r>
        <w:t xml:space="preserve">INV-JKT-2025-04871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IDR (Indonesian Rupiah)</w:t>
      </w:r>
    </w:p>
    <w:bookmarkStart w:id="20" w:name="issued-by-the-banker"/>
    <w:p>
      <w:pPr>
        <w:pStyle w:val="Heading3"/>
      </w:pPr>
      <w:r>
        <w:t xml:space="preserve">Issued By (The Banker)</w:t>
      </w:r>
    </w:p>
    <w:p>
      <w:pPr>
        <w:pStyle w:val="FirstParagraph"/>
      </w:pPr>
      <w:r>
        <w:rPr>
          <w:bCs/>
          <w:b/>
        </w:rPr>
        <w:t xml:space="preserve">Banker Name:</w:t>
      </w:r>
      <w:r>
        <w:t xml:space="preserve"> </w:t>
      </w:r>
      <w:r>
        <w:t xml:space="preserve">Hendra Wijaya, CFA, CFP</w:t>
      </w:r>
    </w:p>
    <w:p>
      <w:pPr>
        <w:pStyle w:val="BodyText"/>
      </w:pPr>
      <w:r>
        <w:rPr>
          <w:bCs/>
          <w:b/>
        </w:rPr>
        <w:t xml:space="preserve">Title:</w:t>
      </w:r>
      <w:r>
        <w:t xml:space="preserve"> </w:t>
      </w:r>
      <w:r>
        <w:t xml:space="preserve">Senior Banker &amp; Financial Advisor</w:t>
      </w:r>
    </w:p>
    <w:p>
      <w:pPr>
        <w:pStyle w:val="BodyText"/>
      </w:pPr>
      <w:r>
        <w:rPr>
          <w:bCs/>
          <w:b/>
        </w:rPr>
        <w:t xml:space="preserve">Firm:</w:t>
      </w:r>
      <w:r>
        <w:t xml:space="preserve"> </w:t>
      </w:r>
      <w:r>
        <w:t xml:space="preserve">Nusantara Capital Advisory Bank</w:t>
      </w:r>
    </w:p>
    <w:p>
      <w:pPr>
        <w:pStyle w:val="BodyText"/>
      </w:pPr>
      <w:r>
        <w:rPr>
          <w:bCs/>
          <w:b/>
        </w:rPr>
        <w:t xml:space="preserve">Address:</w:t>
      </w:r>
      <w:r>
        <w:t xml:space="preserve"> </w:t>
      </w:r>
      <w:r>
        <w:t xml:space="preserve">Menara Jakarta Financial District, 34th Floor, Jl. Jend. Sudirman Kav. 52-53, Jakarta Selatan, Indonesia Jakarta 12190</w:t>
      </w:r>
    </w:p>
    <w:p>
      <w:pPr>
        <w:pStyle w:val="BodyText"/>
      </w:pPr>
      <w:r>
        <w:rPr>
          <w:bCs/>
          <w:b/>
        </w:rPr>
        <w:t xml:space="preserve">Email:</w:t>
      </w:r>
      <w:r>
        <w:t xml:space="preserve"> </w:t>
      </w:r>
      <w:r>
        <w:t xml:space="preserve">h.wijaya@nusantaracapital.co.id</w:t>
      </w:r>
    </w:p>
    <w:p>
      <w:pPr>
        <w:pStyle w:val="BodyText"/>
      </w:pPr>
      <w:r>
        <w:rPr>
          <w:bCs/>
          <w:b/>
        </w:rPr>
        <w:t xml:space="preserve">Phone:</w:t>
      </w:r>
      <w:r>
        <w:t xml:space="preserve"> </w:t>
      </w:r>
      <w:r>
        <w:t xml:space="preserve">+62 21 5790 4422</w:t>
      </w:r>
    </w:p>
    <w:p>
      <w:pPr>
        <w:pStyle w:val="BodyText"/>
      </w:pPr>
      <w:r>
        <w:rPr>
          <w:bCs/>
          <w:b/>
        </w:rPr>
        <w:t xml:space="preserve">NPWP:</w:t>
      </w:r>
      <w:r>
        <w:t xml:space="preserve"> </w:t>
      </w:r>
      <w:r>
        <w:t xml:space="preserve">02.345.678.9-012.000</w:t>
      </w:r>
    </w:p>
    <w:bookmarkEnd w:id="20"/>
    <w:bookmarkStart w:id="21" w:name="billed-to-the-client"/>
    <w:p>
      <w:pPr>
        <w:pStyle w:val="Heading3"/>
      </w:pPr>
      <w:r>
        <w:t xml:space="preserve">Billed To (The Client)</w:t>
      </w:r>
    </w:p>
    <w:p>
      <w:pPr>
        <w:pStyle w:val="FirstParagraph"/>
      </w:pPr>
      <w:r>
        <w:rPr>
          <w:bCs/>
          <w:b/>
        </w:rPr>
        <w:t xml:space="preserve">Client Name:</w:t>
      </w:r>
      <w:r>
        <w:t xml:space="preserve"> </w:t>
      </w:r>
      <w:r>
        <w:t xml:space="preserve">PT Artha Sejahtera Mandiri</w:t>
      </w:r>
    </w:p>
    <w:p>
      <w:pPr>
        <w:pStyle w:val="BodyText"/>
      </w:pPr>
      <w:r>
        <w:rPr>
          <w:bCs/>
          <w:b/>
        </w:rPr>
        <w:t xml:space="preserve">Attention:</w:t>
      </w:r>
      <w:r>
        <w:t xml:space="preserve"> </w:t>
      </w:r>
      <w:r>
        <w:t xml:space="preserve">Ibu Ratna Dewi, CFO</w:t>
      </w:r>
    </w:p>
    <w:p>
      <w:pPr>
        <w:pStyle w:val="BodyText"/>
      </w:pPr>
      <w:r>
        <w:rPr>
          <w:bCs/>
          <w:b/>
        </w:rPr>
        <w:t xml:space="preserve">Address:</w:t>
      </w:r>
      <w:r>
        <w:t xml:space="preserve"> </w:t>
      </w:r>
      <w:r>
        <w:t xml:space="preserve">Graha Niaga Tower, 12th Floor, Jl. Gatot Subroto Kav. 28, Jakarta Pusat, Indonesia Jakarta 10270</w:t>
      </w:r>
    </w:p>
    <w:p>
      <w:pPr>
        <w:pStyle w:val="BodyText"/>
      </w:pPr>
      <w:r>
        <w:rPr>
          <w:bCs/>
          <w:b/>
        </w:rPr>
        <w:t xml:space="preserve">Email:</w:t>
      </w:r>
      <w:r>
        <w:t xml:space="preserve"> </w:t>
      </w:r>
      <w:r>
        <w:t xml:space="preserve">r.dewi@arthasejahtera.co.id</w:t>
      </w:r>
    </w:p>
    <w:p>
      <w:pPr>
        <w:pStyle w:val="BodyText"/>
      </w:pPr>
      <w:r>
        <w:rPr>
          <w:bCs/>
          <w:b/>
        </w:rPr>
        <w:t xml:space="preserve">Phone:</w:t>
      </w:r>
      <w:r>
        <w:t xml:space="preserve"> </w:t>
      </w:r>
      <w:r>
        <w:t xml:space="preserve">+62 21 5200 8833</w:t>
      </w:r>
    </w:p>
    <w:p>
      <w:pPr>
        <w:pStyle w:val="BodyText"/>
      </w:pPr>
      <w:r>
        <w:rPr>
          <w:bCs/>
          <w:b/>
        </w:rPr>
        <w:t xml:space="preserve">NPWP:</w:t>
      </w:r>
      <w:r>
        <w:t xml:space="preserve"> </w:t>
      </w:r>
      <w:r>
        <w:t xml:space="preserve">09.876.543.2-023.000</w:t>
      </w:r>
    </w:p>
    <w:bookmarkEnd w:id="21"/>
    <w:bookmarkStart w:id="24" w:name="description-of-banking-services-rendered"/>
    <w:p>
      <w:pPr>
        <w:pStyle w:val="Heading2"/>
      </w:pPr>
      <w:r>
        <w:t xml:space="preserve">Description of Banking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(IDR)</w:t>
            </w:r>
          </w:p>
        </w:tc>
        <w:tc>
          <w:tcPr/>
          <w:p>
            <w:pPr>
              <w:pStyle w:val="Compact"/>
              <w:jc w:val="left"/>
            </w:pPr>
            <w:r>
              <w:t xml:space="preserve">Qty</w:t>
            </w:r>
          </w:p>
        </w:tc>
        <w:tc>
          <w:tcPr/>
          <w:p>
            <w:pPr>
              <w:pStyle w:val="Compact"/>
              <w:jc w:val="left"/>
            </w:pPr>
            <w:r>
              <w:t xml:space="preserve">Amount (IDR)</w:t>
            </w:r>
          </w:p>
        </w:tc>
      </w:tr>
      <w:tr>
        <w:tc>
          <w:tcPr/>
          <w:p>
            <w:pPr>
              <w:pStyle w:val="Compact"/>
              <w:jc w:val="left"/>
            </w:pPr>
            <w:r>
              <w:t xml:space="preserve">01</w:t>
            </w:r>
          </w:p>
        </w:tc>
        <w:tc>
          <w:tcPr/>
          <w:p>
            <w:pPr>
              <w:pStyle w:val="Compact"/>
              <w:jc w:val="left"/>
            </w:pPr>
            <w:r>
              <w:t xml:space="preserve">Corporate Banking Advisory – Structured financing arrangement for expansion project in Indonesia Jakarta industrial zone</w:t>
            </w:r>
          </w:p>
        </w:tc>
        <w:tc>
          <w:tcPr/>
          <w:p>
            <w:pPr>
              <w:pStyle w:val="Compact"/>
              <w:jc w:val="left"/>
            </w:pPr>
            <w:r>
              <w:t xml:space="preserve">May 2025</w:t>
            </w:r>
          </w:p>
        </w:tc>
        <w:tc>
          <w:tcPr/>
          <w:p>
            <w:pPr>
              <w:pStyle w:val="Compact"/>
              <w:jc w:val="left"/>
            </w:pPr>
            <w:r>
              <w:t xml:space="preserve">25,000,000</w:t>
            </w:r>
          </w:p>
        </w:tc>
        <w:tc>
          <w:tcPr/>
          <w:p>
            <w:pPr>
              <w:pStyle w:val="Compact"/>
              <w:jc w:val="left"/>
            </w:pPr>
            <w:r>
              <w:t xml:space="preserve">1</w:t>
            </w:r>
          </w:p>
        </w:tc>
        <w:tc>
          <w:tcPr/>
          <w:p>
            <w:pPr>
              <w:pStyle w:val="Compact"/>
              <w:jc w:val="left"/>
            </w:pPr>
            <w:r>
              <w:t xml:space="preserve">25,000,000</w:t>
            </w:r>
          </w:p>
        </w:tc>
      </w:tr>
      <w:tr>
        <w:tc>
          <w:tcPr/>
          <w:p>
            <w:pPr>
              <w:pStyle w:val="Compact"/>
              <w:jc w:val="left"/>
            </w:pPr>
            <w:r>
              <w:t xml:space="preserve">02</w:t>
            </w:r>
          </w:p>
        </w:tc>
        <w:tc>
          <w:tcPr/>
          <w:p>
            <w:pPr>
              <w:pStyle w:val="Compact"/>
              <w:jc w:val="left"/>
            </w:pPr>
            <w:r>
              <w:t xml:space="preserve">Treasury Management Consulting – Cash flow optimization and foreign exchange hedging strategy for the Banker's client portfolio</w:t>
            </w:r>
          </w:p>
        </w:tc>
        <w:tc>
          <w:tcPr/>
          <w:p>
            <w:pPr>
              <w:pStyle w:val="Compact"/>
              <w:jc w:val="left"/>
            </w:pPr>
            <w:r>
              <w:t xml:space="preserve">May 2025</w:t>
            </w:r>
          </w:p>
        </w:tc>
        <w:tc>
          <w:tcPr/>
          <w:p>
            <w:pPr>
              <w:pStyle w:val="Compact"/>
              <w:jc w:val="left"/>
            </w:pPr>
            <w:r>
              <w:t xml:space="preserve">18,500,000</w:t>
            </w:r>
          </w:p>
        </w:tc>
        <w:tc>
          <w:tcPr/>
          <w:p>
            <w:pPr>
              <w:pStyle w:val="Compact"/>
              <w:jc w:val="left"/>
            </w:pPr>
            <w:r>
              <w:t xml:space="preserve">1</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Trade Finance Facilitation – Letter of Credit issuance and documentary collection services for import operations in Indonesia Jakarta</w:t>
            </w:r>
          </w:p>
        </w:tc>
        <w:tc>
          <w:tcPr/>
          <w:p>
            <w:pPr>
              <w:pStyle w:val="Compact"/>
              <w:jc w:val="left"/>
            </w:pPr>
            <w:r>
              <w:t xml:space="preserve">May 2025</w:t>
            </w:r>
          </w:p>
        </w:tc>
        <w:tc>
          <w:tcPr/>
          <w:p>
            <w:pPr>
              <w:pStyle w:val="Compact"/>
              <w:jc w:val="left"/>
            </w:pPr>
            <w:r>
              <w:t xml:space="preserve">12,000,000</w:t>
            </w:r>
          </w:p>
        </w:tc>
        <w:tc>
          <w:tcPr/>
          <w:p>
            <w:pPr>
              <w:pStyle w:val="Compact"/>
              <w:jc w:val="left"/>
            </w:pPr>
            <w:r>
              <w:t xml:space="preserve">2</w:t>
            </w:r>
          </w:p>
        </w:tc>
        <w:tc>
          <w:tcPr/>
          <w:p>
            <w:pPr>
              <w:pStyle w:val="Compact"/>
              <w:jc w:val="left"/>
            </w:pPr>
            <w:r>
              <w:t xml:space="preserve">24,000,000</w:t>
            </w:r>
          </w:p>
        </w:tc>
      </w:tr>
      <w:tr>
        <w:tc>
          <w:tcPr/>
          <w:p>
            <w:pPr>
              <w:pStyle w:val="Compact"/>
              <w:jc w:val="left"/>
            </w:pPr>
            <w:r>
              <w:t xml:space="preserve">04</w:t>
            </w:r>
          </w:p>
        </w:tc>
        <w:tc>
          <w:tcPr/>
          <w:p>
            <w:pPr>
              <w:pStyle w:val="Compact"/>
              <w:jc w:val="left"/>
            </w:pPr>
            <w:r>
              <w:t xml:space="preserve">Investment Banking Advisory – Due diligence and valuation support for private equity acquisition target</w:t>
            </w:r>
          </w:p>
        </w:tc>
        <w:tc>
          <w:tcPr/>
          <w:p>
            <w:pPr>
              <w:pStyle w:val="Compact"/>
              <w:jc w:val="left"/>
            </w:pPr>
            <w:r>
              <w:t xml:space="preserve">May 2025</w:t>
            </w:r>
          </w:p>
        </w:tc>
        <w:tc>
          <w:tcPr/>
          <w:p>
            <w:pPr>
              <w:pStyle w:val="Compact"/>
              <w:jc w:val="left"/>
            </w:pPr>
            <w:r>
              <w:t xml:space="preserve">35,000,000</w:t>
            </w:r>
          </w:p>
        </w:tc>
        <w:tc>
          <w:tcPr/>
          <w:p>
            <w:pPr>
              <w:pStyle w:val="Compact"/>
              <w:jc w:val="left"/>
            </w:pPr>
            <w:r>
              <w:t xml:space="preserve">1</w:t>
            </w:r>
          </w:p>
        </w:tc>
        <w:tc>
          <w:tcPr/>
          <w:p>
            <w:pPr>
              <w:pStyle w:val="Compact"/>
              <w:jc w:val="left"/>
            </w:pPr>
            <w:r>
              <w:t xml:space="preserve">35,000,000</w:t>
            </w:r>
          </w:p>
        </w:tc>
      </w:tr>
      <w:tr>
        <w:tc>
          <w:tcPr/>
          <w:p>
            <w:pPr>
              <w:pStyle w:val="Compact"/>
              <w:jc w:val="left"/>
            </w:pPr>
            <w:r>
              <w:t xml:space="preserve">05</w:t>
            </w:r>
          </w:p>
        </w:tc>
        <w:tc>
          <w:tcPr/>
          <w:p>
            <w:pPr>
              <w:pStyle w:val="Compact"/>
              <w:jc w:val="left"/>
            </w:pPr>
            <w:r>
              <w:t xml:space="preserve">Regulatory Compliance Review – OJK (Otoritas Jasa Keuangan) compliance audit preparation and reporting for banking operations in Indonesia Jakarta</w:t>
            </w:r>
          </w:p>
        </w:tc>
        <w:tc>
          <w:tcPr/>
          <w:p>
            <w:pPr>
              <w:pStyle w:val="Compact"/>
              <w:jc w:val="left"/>
            </w:pPr>
            <w:r>
              <w:t xml:space="preserve">May 2025</w:t>
            </w:r>
          </w:p>
        </w:tc>
        <w:tc>
          <w:tcPr/>
          <w:p>
            <w:pPr>
              <w:pStyle w:val="Compact"/>
              <w:jc w:val="left"/>
            </w:pPr>
            <w:r>
              <w:t xml:space="preserve">15,000,000</w:t>
            </w:r>
          </w:p>
        </w:tc>
        <w:tc>
          <w:tcPr/>
          <w:p>
            <w:pPr>
              <w:pStyle w:val="Compact"/>
              <w:jc w:val="left"/>
            </w:pPr>
            <w:r>
              <w:t xml:space="preserve">1</w:t>
            </w:r>
          </w:p>
        </w:tc>
        <w:tc>
          <w:tcPr/>
          <w:p>
            <w:pPr>
              <w:pStyle w:val="Compact"/>
              <w:jc w:val="left"/>
            </w:pPr>
            <w:r>
              <w:t xml:space="preserve">15,000,000</w:t>
            </w:r>
          </w:p>
        </w:tc>
      </w:tr>
      <w:tr>
        <w:tc>
          <w:tcPr/>
          <w:p>
            <w:pPr>
              <w:pStyle w:val="Compact"/>
              <w:jc w:val="left"/>
            </w:pPr>
            <w:r>
              <w:t xml:space="preserve">06</w:t>
            </w:r>
          </w:p>
        </w:tc>
        <w:tc>
          <w:tcPr/>
          <w:p>
            <w:pPr>
              <w:pStyle w:val="Compact"/>
              <w:jc w:val="left"/>
            </w:pPr>
            <w:r>
              <w:t xml:space="preserve">Board-Level Financial Briefing – Quarterly strategic financial presentation prepared and delivered by the Banker to the client's board of directors</w:t>
            </w:r>
          </w:p>
        </w:tc>
        <w:tc>
          <w:tcPr/>
          <w:p>
            <w:pPr>
              <w:pStyle w:val="Compact"/>
              <w:jc w:val="left"/>
            </w:pPr>
            <w:r>
              <w:t xml:space="preserve">May 2025</w:t>
            </w:r>
          </w:p>
        </w:tc>
        <w:tc>
          <w:tcPr/>
          <w:p>
            <w:pPr>
              <w:pStyle w:val="Compact"/>
              <w:jc w:val="left"/>
            </w:pPr>
            <w:r>
              <w:t xml:space="preserve">10,000,000</w:t>
            </w:r>
          </w:p>
        </w:tc>
        <w:tc>
          <w:tcPr/>
          <w:p>
            <w:pPr>
              <w:pStyle w:val="Compact"/>
              <w:jc w:val="left"/>
            </w:pPr>
            <w:r>
              <w:t xml:space="preserve">1</w:t>
            </w:r>
          </w:p>
        </w:tc>
        <w:tc>
          <w:tcPr/>
          <w:p>
            <w:pPr>
              <w:pStyle w:val="Compact"/>
              <w:jc w:val="left"/>
            </w:pPr>
            <w:r>
              <w:t xml:space="preserve">10,000,000</w:t>
            </w:r>
          </w:p>
        </w:tc>
      </w:tr>
    </w:tbl>
    <w:p>
      <w:pPr>
        <w:pStyle w:val="BodyText"/>
      </w:pPr>
      <w:r>
        <w:t xml:space="preserve">Subtotal:</w:t>
      </w:r>
      <w:r>
        <w:t xml:space="preserve">IDR 127,500,000</w:t>
      </w:r>
    </w:p>
    <w:p>
      <w:pPr>
        <w:pStyle w:val="BodyText"/>
      </w:pPr>
      <w:r>
        <w:t xml:space="preserve">VAT (PPN) 11%:</w:t>
      </w:r>
      <w:r>
        <w:t xml:space="preserve">IDR 14,025,000</w:t>
      </w:r>
    </w:p>
    <w:p>
      <w:pPr>
        <w:pStyle w:val="BodyText"/>
      </w:pPr>
      <w:r>
        <w:t xml:space="preserve">Withholding Tax (PPh 23) 2%:</w:t>
      </w:r>
      <w:r>
        <w:t xml:space="preserve">(IDR 2,550,000)</w:t>
      </w:r>
    </w:p>
    <w:p>
      <w:pPr>
        <w:pStyle w:val="BodyText"/>
      </w:pPr>
      <w:r>
        <w:t xml:space="preserve">NET TOTAL DUE:</w:t>
      </w:r>
      <w:r>
        <w:t xml:space="preserve">IDR 138,975,000</w:t>
      </w:r>
    </w:p>
    <w:bookmarkStart w:id="22" w:name="payment-instructions"/>
    <w:p>
      <w:pPr>
        <w:pStyle w:val="Heading3"/>
      </w:pPr>
      <w:r>
        <w:t xml:space="preserve">Payment Instructions</w:t>
      </w:r>
    </w:p>
    <w:p>
      <w:pPr>
        <w:pStyle w:val="FirstParagraph"/>
      </w:pPr>
      <w:r>
        <w:t xml:space="preserve">All payments for this Invoice must be remitted via bank transfer to the following account held by the Banker at a licensed commercial bank in Indonesia Jakarta:</w:t>
      </w:r>
    </w:p>
    <w:p>
      <w:pPr>
        <w:pStyle w:val="BodyText"/>
      </w:pPr>
      <w:r>
        <w:rPr>
          <w:bCs/>
          <w:b/>
        </w:rPr>
        <w:t xml:space="preserve">Bank:</w:t>
      </w:r>
      <w:r>
        <w:t xml:space="preserve"> </w:t>
      </w:r>
      <w:r>
        <w:t xml:space="preserve">Bank Nusantara International, Indonesia Jakarta Main Branch</w:t>
      </w:r>
    </w:p>
    <w:p>
      <w:pPr>
        <w:pStyle w:val="BodyText"/>
      </w:pPr>
      <w:r>
        <w:rPr>
          <w:bCs/>
          <w:b/>
        </w:rPr>
        <w:t xml:space="preserve">Account Name:</w:t>
      </w:r>
      <w:r>
        <w:t xml:space="preserve"> </w:t>
      </w:r>
      <w:r>
        <w:t xml:space="preserve">Hendra Wijaya – Nusantara Capital Advisory Bank</w:t>
      </w:r>
    </w:p>
    <w:p>
      <w:pPr>
        <w:pStyle w:val="BodyText"/>
      </w:pPr>
      <w:r>
        <w:rPr>
          <w:bCs/>
          <w:b/>
        </w:rPr>
        <w:t xml:space="preserve">Account Number:</w:t>
      </w:r>
      <w:r>
        <w:t xml:space="preserve"> </w:t>
      </w:r>
      <w:r>
        <w:t xml:space="preserve">8820-4567-8901-2345</w:t>
      </w:r>
    </w:p>
    <w:p>
      <w:pPr>
        <w:pStyle w:val="BodyText"/>
      </w:pPr>
      <w:r>
        <w:rPr>
          <w:bCs/>
          <w:b/>
        </w:rPr>
        <w:t xml:space="preserve">SWIFT Code:</w:t>
      </w:r>
      <w:r>
        <w:t xml:space="preserve"> </w:t>
      </w:r>
      <w:r>
        <w:t xml:space="preserve">NUSBJKJA</w:t>
      </w:r>
    </w:p>
    <w:p>
      <w:pPr>
        <w:pStyle w:val="BodyText"/>
      </w:pPr>
      <w:r>
        <w:rPr>
          <w:bCs/>
          <w:b/>
        </w:rPr>
        <w:t xml:space="preserve">Reference:</w:t>
      </w:r>
      <w:r>
        <w:t xml:space="preserve"> </w:t>
      </w:r>
      <w:r>
        <w:t xml:space="preserve">INV-JKT-2025-04871</w:t>
      </w:r>
    </w:p>
    <w:p>
      <w:pPr>
        <w:pStyle w:val="BodyText"/>
      </w:pPr>
      <w:r>
        <w:t xml:space="preserve">Please ensure the full Invoice reference number is included in the transfer remarks to facilitate accurate reconciliation by the Banker's accounting team.</w:t>
      </w:r>
    </w:p>
    <w:bookmarkEnd w:id="22"/>
    <w:bookmarkStart w:id="23" w:name="important-notes-terms"/>
    <w:p>
      <w:pPr>
        <w:pStyle w:val="Heading3"/>
      </w:pPr>
      <w:r>
        <w:t xml:space="preserve">Important Notes &amp; Terms</w:t>
      </w:r>
    </w:p>
    <w:p>
      <w:pPr>
        <w:pStyle w:val="FirstParagraph"/>
      </w:pPr>
      <w:r>
        <w:t xml:space="preserve">1. This Invoice is issued in accordance with the Master Service Agreement dated 1 January 2025 between the Banker (Nusantara Capital Advisory Bank) and the Client (PT Artha Sejahtera Mandiri) for the provision of professional banking and financial advisory services in Indonesia Jakarta.</w:t>
      </w:r>
    </w:p>
    <w:p>
      <w:pPr>
        <w:pStyle w:val="BodyText"/>
      </w:pPr>
      <w:r>
        <w:t xml:space="preserve">2. Payment is due within fifteen (15) calendar days from the Invoice date. Late payments shall accrue interest at the rate of 1.5% per month, calculated from the due date until full settlement is received by the Banker.</w:t>
      </w:r>
    </w:p>
    <w:p>
      <w:pPr>
        <w:pStyle w:val="BodyText"/>
      </w:pPr>
      <w:r>
        <w:t xml:space="preserve">3. All services described in this Invoice were performed by the Banker and his authorized team of licensed financial professionals registered with the Otoritas Jasa Keuangan (OJK) in Indonesia Jakarta.</w:t>
      </w:r>
    </w:p>
    <w:p>
      <w:pPr>
        <w:pStyle w:val="BodyText"/>
      </w:pPr>
      <w:r>
        <w:t xml:space="preserve">4. The VAT (Pajak Pertambahan Nilai) of 11% is applied in compliance with Indonesian tax regulations (UU PPN). The withholding tax (PPh Pasal 23) of 2% has been deducted as the Client is the withholding agent under Indonesian tax law.</w:t>
      </w:r>
    </w:p>
    <w:p>
      <w:pPr>
        <w:pStyle w:val="BodyText"/>
      </w:pPr>
      <w:r>
        <w:t xml:space="preserve">5. This Invoice is valid for ninety (90) days from the date of issue. The Banker reserves the right to suspend ongoing services if payment is not received by the due date specified above.</w:t>
      </w:r>
    </w:p>
    <w:p>
      <w:pPr>
        <w:pStyle w:val="BodyText"/>
      </w:pPr>
      <w:r>
        <w:t xml:space="preserve">6. Any disputes arising from this Invoice shall be resolved through arbitration in Indonesia Jakarta in accordance with the rules of the Badan Arbitrase Nasional Indonesia (BANI).</w:t>
      </w:r>
    </w:p>
    <w:p>
      <w:pPr>
        <w:pStyle w:val="BodyText"/>
      </w:pPr>
      <w:r>
        <w:t xml:space="preserve">7. The Banker confirms that all services rendered comply with the Anti-Money Laundering (AML) and Know Your Customer (KYC) regulations enforced by Bank Indonesia and OJK in Indonesia Jakarta.</w:t>
      </w:r>
    </w:p>
    <w:bookmarkEnd w:id="23"/>
    <w:p>
      <w:pPr>
        <w:pStyle w:val="BodyText"/>
      </w:pPr>
      <w:r>
        <w:rPr>
          <w:bCs/>
          <w:b/>
        </w:rPr>
        <w:t xml:space="preserve">Nusantara Capital Advisory Bank</w:t>
      </w:r>
      <w:r>
        <w:t xml:space="preserve"> </w:t>
      </w:r>
      <w:r>
        <w:t xml:space="preserve">| Menara Jakarta Financial District, 34th Floor, Jl. Jend. Sudirman Kav. 52-53, Jakarta Selatan, Indonesia Jakarta 12190</w:t>
      </w:r>
    </w:p>
    <w:p>
      <w:pPr>
        <w:pStyle w:val="BodyText"/>
      </w:pPr>
      <w:r>
        <w:t xml:space="preserve">License No. OJK-2019/0456 | NPWP: 02.345.678.9-012.000 | This Invoice was generated electronically and is valid without a physical signature.</w:t>
      </w:r>
    </w:p>
    <w:p>
      <w:pPr>
        <w:pStyle w:val="BodyText"/>
      </w:pPr>
      <w:r>
        <w:t xml:space="preserve">Thank you for engaging our Banker for your financial needs in Indonesia Jakarta. We look forward to continuing our professional relationship.</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Indonesia Jakarta</dc:title>
  <dc:creator/>
  <dc:language>en</dc:language>
  <cp:keywords/>
  <dcterms:created xsi:type="dcterms:W3CDTF">2026-10-10T14:24:39Z</dcterms:created>
  <dcterms:modified xsi:type="dcterms:W3CDTF">2026-10-10T14:24:39Z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