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invoice"/>
    <w:p>
      <w:pPr>
        <w:pStyle w:val="Heading1"/>
      </w:pPr>
      <w:r>
        <w:t xml:space="preserve">INVOICE</w:t>
      </w:r>
    </w:p>
    <w:p>
      <w:pPr>
        <w:pStyle w:val="FirstParagraph"/>
      </w:pPr>
      <w:r>
        <w:t xml:space="preserve">Professional Banking &amp; Financial Services – Iran Tehran</w:t>
      </w:r>
    </w:p>
    <w:p>
      <w:pPr>
        <w:pStyle w:val="BodyText"/>
      </w:pPr>
      <w:r>
        <w:t xml:space="preserve">Official Invoice Document</w:t>
      </w:r>
    </w:p>
    <w:bookmarkEnd w:id="20"/>
    <w:p>
      <w:pPr>
        <w:pStyle w:val="BodyText"/>
      </w:pPr>
      <w:r>
        <w:rPr>
          <w:bCs/>
          <w:b/>
        </w:rPr>
        <w:t xml:space="preserve">Banker:</w:t>
      </w:r>
      <w:r>
        <w:t xml:space="preserve"> </w:t>
      </w:r>
      <w:r>
        <w:t xml:space="preserve">Mr. Amir Hossein Karimi</w:t>
      </w:r>
      <w:r>
        <w:br/>
      </w:r>
      <w:r>
        <w:rPr>
          <w:bCs/>
          <w:b/>
        </w:rPr>
        <w:t xml:space="preserve">Title:</w:t>
      </w:r>
      <w:r>
        <w:t xml:space="preserve"> </w:t>
      </w:r>
      <w:r>
        <w:t xml:space="preserve">Senior Banker &amp; Financial Consultant</w:t>
      </w:r>
      <w:r>
        <w:br/>
      </w:r>
      <w:r>
        <w:rPr>
          <w:bCs/>
          <w:b/>
        </w:rPr>
        <w:t xml:space="preserve">License No.:</w:t>
      </w:r>
      <w:r>
        <w:t xml:space="preserve"> </w:t>
      </w:r>
      <w:r>
        <w:t xml:space="preserve">IR-BNK-2024-08847</w:t>
      </w:r>
      <w:r>
        <w:br/>
      </w:r>
      <w:r>
        <w:rPr>
          <w:bCs/>
          <w:b/>
        </w:rPr>
        <w:t xml:space="preserve">Address:</w:t>
      </w:r>
      <w:r>
        <w:t xml:space="preserve"> </w:t>
      </w:r>
      <w:r>
        <w:t xml:space="preserve">No. 42, Vali-e-Asr Street, District 1,</w:t>
      </w:r>
      <w:r>
        <w:br/>
      </w:r>
      <w:r>
        <w:t xml:space="preserve">Tehran, Iran – Postal Code: 11365-4721</w:t>
      </w:r>
      <w:r>
        <w:br/>
      </w:r>
      <w:r>
        <w:rPr>
          <w:bCs/>
          <w:b/>
        </w:rPr>
        <w:t xml:space="preserve">Phone:</w:t>
      </w:r>
      <w:r>
        <w:t xml:space="preserve"> </w:t>
      </w:r>
      <w:r>
        <w:t xml:space="preserve">+98-21-8876-5432</w:t>
      </w:r>
      <w:r>
        <w:br/>
      </w:r>
      <w:r>
        <w:rPr>
          <w:bCs/>
          <w:b/>
        </w:rPr>
        <w:t xml:space="preserve">Email:</w:t>
      </w:r>
      <w:r>
        <w:t xml:space="preserve"> </w:t>
      </w:r>
      <w:r>
        <w:t xml:space="preserve">a.karimi@tehranbanker.ir</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INV-THR-2025-00342</w:t>
      </w:r>
    </w:p>
    <w:p>
      <w:pPr>
        <w:pStyle w:val="BodyText"/>
      </w:pPr>
      <w:r>
        <w:rPr>
          <w:bCs/>
          <w:b/>
        </w:rPr>
        <w:t xml:space="preserve">Issue Date:</w:t>
      </w:r>
      <w:r>
        <w:t xml:space="preserve"> </w:t>
      </w:r>
      <w:r>
        <w:t xml:space="preserve">15 Farvardin 1404 (March 5, 2025)</w:t>
      </w:r>
    </w:p>
    <w:p>
      <w:pPr>
        <w:pStyle w:val="BodyText"/>
      </w:pPr>
      <w:r>
        <w:rPr>
          <w:bCs/>
          <w:b/>
        </w:rPr>
        <w:t xml:space="preserve">Due Date:</w:t>
      </w:r>
      <w:r>
        <w:t xml:space="preserve"> </w:t>
      </w:r>
      <w:r>
        <w:t xml:space="preserve">30 Farvardin 1404 (March 20, 2025)</w:t>
      </w:r>
    </w:p>
    <w:p>
      <w:pPr>
        <w:pStyle w:val="BodyText"/>
      </w:pPr>
      <w:r>
        <w:rPr>
          <w:bCs/>
          <w:b/>
        </w:rPr>
        <w:t xml:space="preserve">Currency:</w:t>
      </w:r>
      <w:r>
        <w:t xml:space="preserve"> </w:t>
      </w:r>
      <w:r>
        <w:t xml:space="preserve">Iranian Rial (IRR) / USD</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Pasargad Industrial Group Co.</w:t>
      </w:r>
    </w:p>
    <w:p>
      <w:pPr>
        <w:pStyle w:val="BodyText"/>
      </w:pPr>
      <w:r>
        <w:rPr>
          <w:bCs/>
          <w:b/>
        </w:rPr>
        <w:t xml:space="preserve">Attn:</w:t>
      </w:r>
      <w:r>
        <w:t xml:space="preserve"> </w:t>
      </w:r>
      <w:r>
        <w:t xml:space="preserve">Ms. Leila Mohammadi, CFO</w:t>
      </w:r>
    </w:p>
    <w:p>
      <w:pPr>
        <w:pStyle w:val="BodyText"/>
      </w:pPr>
      <w:r>
        <w:rPr>
          <w:bCs/>
          <w:b/>
        </w:rPr>
        <w:t xml:space="preserve">Address:</w:t>
      </w:r>
      <w:r>
        <w:t xml:space="preserve"> </w:t>
      </w:r>
      <w:r>
        <w:t xml:space="preserve">Kourosh Avenue, District 2, Tehran, Iran</w:t>
      </w:r>
    </w:p>
    <w:p>
      <w:pPr>
        <w:pStyle w:val="BodyText"/>
      </w:pPr>
      <w:r>
        <w:rPr>
          <w:bCs/>
          <w:b/>
        </w:rPr>
        <w:t xml:space="preserve">Tax ID (Kod-e Melli):</w:t>
      </w:r>
      <w:r>
        <w:t xml:space="preserve"> </w:t>
      </w:r>
      <w:r>
        <w:t xml:space="preserve">1024587631</w:t>
      </w:r>
    </w:p>
    <w:bookmarkEnd w:id="22"/>
    <w:bookmarkStart w:id="24" w:name="X14c06b920de0fb09366701df54b5bdbc7d6f216"/>
    <w:p>
      <w:pPr>
        <w:pStyle w:val="Heading2"/>
      </w:pPr>
      <w:r>
        <w:t xml:space="preserve">Description of Banking Services Rendered by the Banker in Iran Tehran</w:t>
      </w:r>
    </w:p>
    <w:p>
      <w:pPr>
        <w:pStyle w:val="FirstParagraph"/>
      </w:pPr>
      <w:r>
        <w:t xml:space="preserve">This Invoice is issued by the undersigned Banker, Mr. Amir Hossein Karimi, a licensed and certified banking professional operating within the jurisdiction of Iran Tehran. The services detailed below were rendered in accordance with the regulations of the Central Bank of the Islamic Republic of Iran and the commercial banking standards applicable in the Tehran metropolitan area. This Invoice serves as the official financial record of all banking advisory, transactional, and consulting services provided to the client during the specified billing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 / Hours</w:t>
            </w:r>
          </w:p>
        </w:tc>
        <w:tc>
          <w:tcPr/>
          <w:p>
            <w:pPr>
              <w:pStyle w:val="Compact"/>
              <w:jc w:val="left"/>
            </w:pPr>
            <w:r>
              <w:t xml:space="preserve">Unit 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Corporate banking account restructuring and compliance review for the client's operations in Iran Tehran, conducted by the Banker at the Tehran Financial District office.</w:t>
            </w:r>
          </w:p>
        </w:tc>
        <w:tc>
          <w:tcPr/>
          <w:p>
            <w:pPr>
              <w:pStyle w:val="Compact"/>
              <w:jc w:val="left"/>
            </w:pPr>
            <w:r>
              <w:t xml:space="preserve">01/03/2025</w:t>
            </w:r>
          </w:p>
        </w:tc>
        <w:tc>
          <w:tcPr/>
          <w:p>
            <w:pPr>
              <w:pStyle w:val="Compact"/>
              <w:jc w:val="left"/>
            </w:pPr>
            <w:r>
              <w:t xml:space="preserve">8 hours</w:t>
            </w:r>
          </w:p>
        </w:tc>
        <w:tc>
          <w:tcPr/>
          <w:p>
            <w:pPr>
              <w:pStyle w:val="Compact"/>
              <w:jc w:val="left"/>
            </w:pPr>
            <w:r>
              <w:t xml:space="preserve">2,500,000</w:t>
            </w:r>
          </w:p>
        </w:tc>
        <w:tc>
          <w:tcPr/>
          <w:p>
            <w:pPr>
              <w:pStyle w:val="Compact"/>
              <w:jc w:val="left"/>
            </w:pPr>
            <w:r>
              <w:t xml:space="preserve">20,000,000</w:t>
            </w:r>
          </w:p>
        </w:tc>
      </w:tr>
      <w:tr>
        <w:tc>
          <w:tcPr/>
          <w:p>
            <w:pPr>
              <w:pStyle w:val="Compact"/>
              <w:jc w:val="left"/>
            </w:pPr>
            <w:r>
              <w:t xml:space="preserve">2</w:t>
            </w:r>
          </w:p>
        </w:tc>
        <w:tc>
          <w:tcPr/>
          <w:p>
            <w:pPr>
              <w:pStyle w:val="Compact"/>
              <w:jc w:val="left"/>
            </w:pPr>
            <w:r>
              <w:t xml:space="preserve">Foreign exchange advisory and currency hedging strategy consultation provided by the Banker for the client's import-export transactions through Tehran's international banking corridors.</w:t>
            </w:r>
          </w:p>
        </w:tc>
        <w:tc>
          <w:tcPr/>
          <w:p>
            <w:pPr>
              <w:pStyle w:val="Compact"/>
              <w:jc w:val="left"/>
            </w:pPr>
            <w:r>
              <w:t xml:space="preserve">03/03/2025</w:t>
            </w:r>
          </w:p>
        </w:tc>
        <w:tc>
          <w:tcPr/>
          <w:p>
            <w:pPr>
              <w:pStyle w:val="Compact"/>
              <w:jc w:val="left"/>
            </w:pPr>
            <w:r>
              <w:t xml:space="preserve">6 hours</w:t>
            </w:r>
          </w:p>
        </w:tc>
        <w:tc>
          <w:tcPr/>
          <w:p>
            <w:pPr>
              <w:pStyle w:val="Compact"/>
              <w:jc w:val="left"/>
            </w:pPr>
            <w:r>
              <w:t xml:space="preserve">3,000,000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Trade finance documentation review, including letters of credit and bank guarantees, prepared and verified by the Banker in compliance with Iranian Central Bank directives.</w:t>
            </w:r>
          </w:p>
        </w:tc>
        <w:tc>
          <w:tcPr/>
          <w:p>
            <w:pPr>
              <w:pStyle w:val="Compact"/>
              <w:jc w:val="left"/>
            </w:pPr>
            <w:r>
              <w:t xml:space="preserve">05/03/2025</w:t>
            </w:r>
          </w:p>
        </w:tc>
        <w:tc>
          <w:tcPr/>
          <w:p>
            <w:pPr>
              <w:pStyle w:val="Compact"/>
              <w:jc w:val="left"/>
            </w:pPr>
            <w:r>
              <w:t xml:space="preserve">10 hours</w:t>
            </w:r>
          </w:p>
        </w:tc>
        <w:tc>
          <w:tcPr/>
          <w:p>
            <w:pPr>
              <w:pStyle w:val="Compact"/>
              <w:jc w:val="left"/>
            </w:pPr>
            <w:r>
              <w:t xml:space="preserve">2,800,000</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Quarterly financial risk assessment and liquidity planning session led by the Banker for the client's Tehran-based subsidiaries and branch offices.</w:t>
            </w:r>
          </w:p>
        </w:tc>
        <w:tc>
          <w:tcPr/>
          <w:p>
            <w:pPr>
              <w:pStyle w:val="Compact"/>
              <w:jc w:val="left"/>
            </w:pPr>
            <w:r>
              <w:t xml:space="preserve">07/03/2025</w:t>
            </w:r>
          </w:p>
        </w:tc>
        <w:tc>
          <w:tcPr/>
          <w:p>
            <w:pPr>
              <w:pStyle w:val="Compact"/>
              <w:jc w:val="left"/>
            </w:pPr>
            <w:r>
              <w:t xml:space="preserve">4 hours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5</w:t>
            </w:r>
          </w:p>
        </w:tc>
        <w:tc>
          <w:tcPr/>
          <w:p>
            <w:pPr>
              <w:pStyle w:val="Compact"/>
              <w:jc w:val="left"/>
            </w:pPr>
            <w:r>
              <w:t xml:space="preserve">Regulatory filing and reporting support for the client's banking obligations under the Islamic Republic of Iran's financial oversight framework, handled by the Banker.</w:t>
            </w:r>
          </w:p>
        </w:tc>
        <w:tc>
          <w:tcPr/>
          <w:p>
            <w:pPr>
              <w:pStyle w:val="Compact"/>
              <w:jc w:val="left"/>
            </w:pPr>
            <w:r>
              <w:t xml:space="preserve">10/03/2025</w:t>
            </w:r>
          </w:p>
        </w:tc>
        <w:tc>
          <w:tcPr/>
          <w:p>
            <w:pPr>
              <w:pStyle w:val="Compact"/>
              <w:jc w:val="left"/>
            </w:pPr>
            <w:r>
              <w:t xml:space="preserve">5 hours</w:t>
            </w:r>
          </w:p>
        </w:tc>
        <w:tc>
          <w:tcPr/>
          <w:p>
            <w:pPr>
              <w:pStyle w:val="Compact"/>
              <w:jc w:val="left"/>
            </w:pPr>
            <w:r>
              <w:t xml:space="preserve">2,200,000</w:t>
            </w:r>
          </w:p>
        </w:tc>
        <w:tc>
          <w:tcPr/>
          <w:p>
            <w:pPr>
              <w:pStyle w:val="Compact"/>
              <w:jc w:val="left"/>
            </w:pPr>
            <w:r>
              <w:t xml:space="preserve">11,000,000</w:t>
            </w:r>
          </w:p>
        </w:tc>
      </w:tr>
      <w:tr>
        <w:tc>
          <w:tcPr/>
          <w:p>
            <w:pPr>
              <w:pStyle w:val="Compact"/>
              <w:jc w:val="left"/>
            </w:pPr>
            <w:r>
              <w:t xml:space="preserve">6</w:t>
            </w:r>
          </w:p>
        </w:tc>
        <w:tc>
          <w:tcPr/>
          <w:p>
            <w:pPr>
              <w:pStyle w:val="Compact"/>
              <w:jc w:val="left"/>
            </w:pPr>
            <w:r>
              <w:t xml:space="preserve">On-site banking infrastructure audit at the client's headquarters in Tehran, Iran, performed by the Banker to ensure alignment with national banking security protocols.</w:t>
            </w:r>
          </w:p>
        </w:tc>
        <w:tc>
          <w:tcPr/>
          <w:p>
            <w:pPr>
              <w:pStyle w:val="Compact"/>
              <w:jc w:val="left"/>
            </w:pPr>
            <w:r>
              <w:t xml:space="preserve">12/03/2025</w:t>
            </w:r>
          </w:p>
        </w:tc>
        <w:tc>
          <w:tcPr/>
          <w:p>
            <w:pPr>
              <w:pStyle w:val="Compact"/>
              <w:jc w:val="left"/>
            </w:pPr>
            <w:r>
              <w:t xml:space="preserve">1 day</w:t>
            </w:r>
          </w:p>
        </w:tc>
        <w:tc>
          <w:tcPr/>
          <w:p>
            <w:pPr>
              <w:pStyle w:val="Compact"/>
              <w:jc w:val="left"/>
            </w:pPr>
            <w:r>
              <w:t xml:space="preserve">15,000,000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106,000,000 IRR</w:t>
            </w:r>
          </w:p>
        </w:tc>
      </w:tr>
      <w:tr>
        <w:tc>
          <w:tcPr/>
          <w:p>
            <w:pPr>
              <w:pStyle w:val="Compact"/>
              <w:jc w:val="left"/>
            </w:pPr>
            <w:r>
              <w:t xml:space="preserve">VAT (9% – Iran Tehran Standard Rate)</w:t>
            </w:r>
          </w:p>
        </w:tc>
        <w:tc>
          <w:tcPr/>
          <w:p>
            <w:pPr>
              <w:pStyle w:val="Compact"/>
              <w:jc w:val="right"/>
            </w:pPr>
            <w:r>
              <w:t xml:space="preserve">9,540,000 IRR</w:t>
            </w:r>
          </w:p>
        </w:tc>
      </w:tr>
      <w:tr>
        <w:tc>
          <w:tcPr/>
          <w:p>
            <w:pPr>
              <w:pStyle w:val="Compact"/>
              <w:jc w:val="left"/>
            </w:pPr>
            <w:r>
              <w:t xml:space="preserve">Banker Service Surcharge (2%)</w:t>
            </w:r>
          </w:p>
        </w:tc>
        <w:tc>
          <w:tcPr/>
          <w:p>
            <w:pPr>
              <w:pStyle w:val="Compact"/>
              <w:jc w:val="right"/>
            </w:pPr>
            <w:r>
              <w:t xml:space="preserve">2,120,000 IRR</w:t>
            </w:r>
          </w:p>
        </w:tc>
      </w:tr>
      <w:tr>
        <w:tc>
          <w:tcPr/>
          <w:p>
            <w:pPr>
              <w:pStyle w:val="Compact"/>
              <w:jc w:val="left"/>
            </w:pPr>
            <w:r>
              <w:t xml:space="preserve">Discount (Early Payment – 3%)</w:t>
            </w:r>
          </w:p>
        </w:tc>
        <w:tc>
          <w:tcPr/>
          <w:p>
            <w:pPr>
              <w:pStyle w:val="Compact"/>
              <w:jc w:val="right"/>
            </w:pPr>
            <w:r>
              <w:t xml:space="preserve">-3,180,000 IRR</w:t>
            </w:r>
          </w:p>
        </w:tc>
      </w:tr>
      <w:tr>
        <w:tc>
          <w:tcPr/>
          <w:p>
            <w:pPr>
              <w:pStyle w:val="Compact"/>
              <w:jc w:val="left"/>
            </w:pPr>
            <w:r>
              <w:t xml:space="preserve">Grand Total Due</w:t>
            </w:r>
          </w:p>
        </w:tc>
        <w:tc>
          <w:tcPr/>
          <w:p>
            <w:pPr>
              <w:pStyle w:val="Compact"/>
              <w:jc w:val="right"/>
            </w:pPr>
            <w:r>
              <w:t xml:space="preserve">114,480,000 IRR</w:t>
            </w:r>
          </w:p>
        </w:tc>
      </w:tr>
      <w:tr>
        <w:tc>
          <w:tcPr/>
          <w:p>
            <w:pPr>
              <w:pStyle w:val="Compact"/>
              <w:jc w:val="left"/>
            </w:pPr>
            <w:r>
              <w:t xml:space="preserve">Approx. USD Equivalent</w:t>
            </w:r>
          </w:p>
        </w:tc>
        <w:tc>
          <w:tcPr/>
          <w:p>
            <w:pPr>
              <w:pStyle w:val="Compact"/>
              <w:jc w:val="right"/>
            </w:pPr>
            <w:r>
              <w:t xml:space="preserve">≈ $2,720.00</w:t>
            </w:r>
          </w:p>
        </w:tc>
      </w:tr>
    </w:tbl>
    <w:bookmarkStart w:id="23" w:name="payment-terms-invoice-conditions"/>
    <w:p>
      <w:pPr>
        <w:pStyle w:val="Heading3"/>
      </w:pPr>
      <w:r>
        <w:t xml:space="preserve">Payment Terms &amp; Invoice Conditions</w:t>
      </w:r>
    </w:p>
    <w:p>
      <w:pPr>
        <w:pStyle w:val="FirstParagraph"/>
      </w:pPr>
      <w:r>
        <w:t xml:space="preserve">This Invoice must be settled in full no later than the due date stated above. Payment shall be made via bank transfer to the Banker's designated account at Bank Melli Iran, Tehran Branch (IBAN: IR88 MELL 0000 0000 0000 0000 0000). The Banker reserves the right to apply a late-payment penalty of 1.5% per week on any outstanding balance beyond the due date, in accordance with Iranian commercial law. This Invoice is valid for 90 days from the issue date. Any disputes regarding this Invoice shall be resolved under the jurisdiction of the Tehran Commercial Court, Iran. The Banker confirms that all services listed herein were performed in full compliance with the regulations of the Central Bank of the Islamic Republic of Iran and applicable financial laws governing banking operations in Iran Tehran.</w:t>
      </w:r>
    </w:p>
    <w:bookmarkEnd w:id="23"/>
    <w:p>
      <w:pPr>
        <w:pStyle w:val="BodyText"/>
      </w:pPr>
      <w:r>
        <w:rPr>
          <w:bCs/>
          <w:b/>
        </w:rPr>
        <w:t xml:space="preserve">Banker's Certification:</w:t>
      </w:r>
      <w:r>
        <w:t xml:space="preserve"> </w:t>
      </w:r>
      <w:r>
        <w:t xml:space="preserve">I, Mr. Amir Hossein Karimi, hereby certify that this Invoice accurately reflects all banking and financial services rendered to the above-named client in Iran Tehran during the billing period. This document is issued in one (1) original copy and constitutes a legally binding financial record under Iranian commercial and banking law.</w:t>
      </w:r>
      <w:r>
        <w:br/>
      </w:r>
      <w:r>
        <w:br/>
      </w:r>
      <w:r>
        <w:rPr>
          <w:bCs/>
          <w:b/>
        </w:rPr>
        <w:t xml:space="preserve">Signature of the Banker:</w:t>
      </w:r>
      <w:r>
        <w:t xml:space="preserve"> </w:t>
      </w:r>
      <w:r>
        <w:t xml:space="preserve">___________________________    </w:t>
      </w:r>
      <w:r>
        <w:t xml:space="preserve"> </w:t>
      </w:r>
      <w:r>
        <w:rPr>
          <w:bCs/>
          <w:b/>
        </w:rPr>
        <w:t xml:space="preserve">Date:</w:t>
      </w:r>
      <w:r>
        <w:t xml:space="preserve"> </w:t>
      </w:r>
      <w:r>
        <w:t xml:space="preserve">15/03/2025</w:t>
      </w:r>
      <w:r>
        <w:br/>
      </w:r>
      <w:r>
        <w:br/>
      </w:r>
      <w:r>
        <w:rPr>
          <w:iCs/>
          <w:i/>
        </w:rPr>
        <w:t xml:space="preserve">Invoice INV-THR-2025-00342 | Banker Services | Iran Tehran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Iran Tehran</dc:title>
  <dc:creator/>
  <dc:language>en</dc:language>
  <cp:keywords/>
  <dcterms:created xsi:type="dcterms:W3CDTF">2026-10-10T06:10:51Z</dcterms:created>
  <dcterms:modified xsi:type="dcterms:W3CDTF">2026-10-10T06:10:51Z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