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Iraq</w:t>
      </w:r>
      <w:r>
        <w:t xml:space="preserve"> </w:t>
      </w:r>
      <w:r>
        <w:t xml:space="preserve">Baghdad</w:t>
      </w:r>
    </w:p>
    <w:bookmarkStart w:id="20" w:name="baghdad-financial-services-co."/>
    <w:p>
      <w:pPr>
        <w:pStyle w:val="Heading1"/>
      </w:pPr>
      <w:r>
        <w:t xml:space="preserve">Baghdad Financial Services Co.</w:t>
      </w:r>
    </w:p>
    <w:p>
      <w:pPr>
        <w:pStyle w:val="FirstParagraph"/>
      </w:pPr>
      <w:r>
        <w:t xml:space="preserve">Al-Mansour District, Baghdad, Iraq</w:t>
      </w:r>
    </w:p>
    <w:p>
      <w:pPr>
        <w:pStyle w:val="BodyText"/>
      </w:pPr>
      <w:r>
        <w:t xml:space="preserve">Commercial Registration No: IQ-BAG-2024-08731</w:t>
      </w:r>
    </w:p>
    <w:p>
      <w:pPr>
        <w:pStyle w:val="BodyText"/>
      </w:pPr>
      <w:r>
        <w:t xml:space="preserve">VAT Registration: IQ-VAT-4471-9920</w:t>
      </w:r>
    </w:p>
    <w:p>
      <w:pPr>
        <w:pStyle w:val="BodyText"/>
      </w:pPr>
      <w:r>
        <w:t xml:space="preserve">Phone: +964-770-123-4567 | Email: billing@baghdadfinancial.iq</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INV-BAG-2025-00472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Iraqi Dinar (IQD)</w:t>
      </w:r>
    </w:p>
    <w:p>
      <w:pPr>
        <w:pStyle w:val="BodyText"/>
      </w:pPr>
      <w:r>
        <w:t xml:space="preserve">Banker Services</w:t>
      </w:r>
    </w:p>
    <w:bookmarkEnd w:id="21"/>
    <w:bookmarkStart w:id="22" w:name="bill-to-client"/>
    <w:p>
      <w:pPr>
        <w:pStyle w:val="Heading3"/>
      </w:pPr>
      <w:r>
        <w:t xml:space="preserve">Bill To (Client)</w:t>
      </w:r>
    </w:p>
    <w:p>
      <w:pPr>
        <w:pStyle w:val="FirstParagraph"/>
      </w:pPr>
      <w:r>
        <w:rPr>
          <w:bCs/>
          <w:b/>
        </w:rPr>
        <w:t xml:space="preserve">Al-Rafidain Trading &amp; Logistics LLC</w:t>
      </w:r>
    </w:p>
    <w:p>
      <w:pPr>
        <w:pStyle w:val="BodyText"/>
      </w:pPr>
      <w:r>
        <w:t xml:space="preserve">At-Tareeq Street, Karrada District</w:t>
      </w:r>
    </w:p>
    <w:p>
      <w:pPr>
        <w:pStyle w:val="BodyText"/>
      </w:pPr>
      <w:r>
        <w:t xml:space="preserve">Baghdad, Iraq</w:t>
      </w:r>
    </w:p>
    <w:p>
      <w:pPr>
        <w:pStyle w:val="BodyText"/>
      </w:pPr>
      <w:r>
        <w:t xml:space="preserve">Tax ID: IQ-TAX-2019-55834</w:t>
      </w:r>
    </w:p>
    <w:p>
      <w:pPr>
        <w:pStyle w:val="BodyText"/>
      </w:pPr>
      <w:r>
        <w:t xml:space="preserve">Contact: Mr. Hussein Al-Karawi</w:t>
      </w:r>
    </w:p>
    <w:p>
      <w:pPr>
        <w:pStyle w:val="BodyText"/>
      </w:pPr>
      <w:r>
        <w:t xml:space="preserve">Email: finance@alrafidaintl.iq</w:t>
      </w:r>
    </w:p>
    <w:bookmarkEnd w:id="22"/>
    <w:bookmarkStart w:id="23" w:name="from-service-provider"/>
    <w:p>
      <w:pPr>
        <w:pStyle w:val="Heading3"/>
      </w:pPr>
      <w:r>
        <w:t xml:space="preserve">From (Service Provider)</w:t>
      </w:r>
    </w:p>
    <w:p>
      <w:pPr>
        <w:pStyle w:val="FirstParagraph"/>
      </w:pPr>
      <w:r>
        <w:rPr>
          <w:bCs/>
          <w:b/>
        </w:rPr>
        <w:t xml:space="preserve">Mr. Tariq Al-Musawi, Senior Banker</w:t>
      </w:r>
    </w:p>
    <w:p>
      <w:pPr>
        <w:pStyle w:val="BodyText"/>
      </w:pPr>
      <w:r>
        <w:t xml:space="preserve">Baghdad Financial Services Co.</w:t>
      </w:r>
    </w:p>
    <w:p>
      <w:pPr>
        <w:pStyle w:val="BodyText"/>
      </w:pPr>
      <w:r>
        <w:t xml:space="preserve">Al-Mansour District, Baghdad, Iraq</w:t>
      </w:r>
    </w:p>
    <w:p>
      <w:pPr>
        <w:pStyle w:val="BodyText"/>
      </w:pPr>
      <w:r>
        <w:t xml:space="preserve">Banker License No: CBI-BAG-2018-0342</w:t>
      </w:r>
    </w:p>
    <w:p>
      <w:pPr>
        <w:pStyle w:val="BodyText"/>
      </w:pPr>
      <w:r>
        <w:t xml:space="preserve">Central Bank of Iraq Registered</w:t>
      </w:r>
    </w:p>
    <w:p>
      <w:pPr>
        <w:pStyle w:val="BodyText"/>
      </w:pPr>
      <w:r>
        <w:t xml:space="preserve">Email: t.al-musawi@baghdadfinancial.iq</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Banker Services</w:t>
            </w:r>
          </w:p>
        </w:tc>
        <w:tc>
          <w:tcPr/>
          <w:p>
            <w:pPr>
              <w:pStyle w:val="Compact"/>
              <w:jc w:val="left"/>
            </w:pPr>
            <w:r>
              <w:t xml:space="preserve">Reference / Period</w:t>
            </w:r>
          </w:p>
        </w:tc>
        <w:tc>
          <w:tcPr/>
          <w:p>
            <w:pPr>
              <w:pStyle w:val="Compact"/>
              <w:jc w:val="left"/>
            </w:pPr>
            <w:r>
              <w:t xml:space="preserve">Rate (IQD)</w:t>
            </w:r>
          </w:p>
        </w:tc>
        <w:tc>
          <w:tcPr/>
          <w:p>
            <w:pPr>
              <w:pStyle w:val="Compact"/>
              <w:jc w:val="left"/>
            </w:pPr>
            <w:r>
              <w:t xml:space="preserve">Amount (IQD)</w:t>
            </w:r>
          </w:p>
        </w:tc>
        <w:tc>
          <w:tcPr/>
          <w:p>
            <w:pPr>
              <w:pStyle w:val="Compact"/>
              <w:jc w:val="left"/>
            </w:pPr>
            <w:r>
              <w:t xml:space="preserve">VAT 3%</w:t>
            </w:r>
          </w:p>
        </w:tc>
      </w:tr>
      <w:tr>
        <w:tc>
          <w:tcPr/>
          <w:p>
            <w:pPr>
              <w:pStyle w:val="Compact"/>
              <w:jc w:val="left"/>
            </w:pPr>
            <w:r>
              <w:t xml:space="preserve">1</w:t>
            </w:r>
          </w:p>
        </w:tc>
        <w:tc>
          <w:tcPr/>
          <w:p>
            <w:pPr>
              <w:pStyle w:val="Compact"/>
              <w:jc w:val="left"/>
            </w:pPr>
            <w:r>
              <w:t xml:space="preserve">Corporate Banking Account Management &amp; Advisory – The Banker provided ongoing management of the client's multi-currency corporate accounts, including liquidity planning, transaction monitoring, and compliance reporting in accordance with Central Bank of Iraq regulations.</w:t>
            </w:r>
          </w:p>
        </w:tc>
        <w:tc>
          <w:tcPr/>
          <w:p>
            <w:pPr>
              <w:pStyle w:val="Compact"/>
              <w:jc w:val="left"/>
            </w:pPr>
            <w:r>
              <w:t xml:space="preserve">Jan – Jun 2025</w:t>
            </w:r>
          </w:p>
        </w:tc>
        <w:tc>
          <w:tcPr/>
          <w:p>
            <w:pPr>
              <w:pStyle w:val="Compact"/>
              <w:jc w:val="left"/>
            </w:pPr>
            <w:r>
              <w:t xml:space="preserve">2,500,000</w:t>
            </w:r>
          </w:p>
        </w:tc>
        <w:tc>
          <w:tcPr/>
          <w:p>
            <w:pPr>
              <w:pStyle w:val="Compact"/>
              <w:jc w:val="left"/>
            </w:pPr>
            <w:r>
              <w:t xml:space="preserve">15,000,000</w:t>
            </w:r>
          </w:p>
        </w:tc>
        <w:tc>
          <w:tcPr/>
          <w:p>
            <w:pPr>
              <w:pStyle w:val="Compact"/>
              <w:jc w:val="left"/>
            </w:pPr>
            <w:r>
              <w:t xml:space="preserve">450,000</w:t>
            </w:r>
          </w:p>
        </w:tc>
      </w:tr>
      <w:tr>
        <w:tc>
          <w:tcPr/>
          <w:p>
            <w:pPr>
              <w:pStyle w:val="Compact"/>
              <w:jc w:val="left"/>
            </w:pPr>
            <w:r>
              <w:t xml:space="preserve">2</w:t>
            </w:r>
          </w:p>
        </w:tc>
        <w:tc>
          <w:tcPr/>
          <w:p>
            <w:pPr>
              <w:pStyle w:val="Compact"/>
              <w:jc w:val="left"/>
            </w:pPr>
            <w:r>
              <w:t xml:space="preserve">Trade Finance &amp; Letter of Credit Facilitation – The Banker structured and processed three Letters of Credit (LC) for international trade transactions between the client and suppliers in Turkey and the UAE, including document verification and settlement coordination.</w:t>
            </w:r>
          </w:p>
        </w:tc>
        <w:tc>
          <w:tcPr/>
          <w:p>
            <w:pPr>
              <w:pStyle w:val="Compact"/>
              <w:jc w:val="left"/>
            </w:pPr>
            <w:r>
              <w:t xml:space="preserve">Feb – May 2025</w:t>
            </w:r>
          </w:p>
        </w:tc>
        <w:tc>
          <w:tcPr/>
          <w:p>
            <w:pPr>
              <w:pStyle w:val="Compact"/>
              <w:jc w:val="left"/>
            </w:pPr>
            <w:r>
              <w:t xml:space="preserve">3,200,000</w:t>
            </w:r>
          </w:p>
        </w:tc>
        <w:tc>
          <w:tcPr/>
          <w:p>
            <w:pPr>
              <w:pStyle w:val="Compact"/>
              <w:jc w:val="left"/>
            </w:pPr>
            <w:r>
              <w:t xml:space="preserve">9,600,000</w:t>
            </w:r>
          </w:p>
        </w:tc>
        <w:tc>
          <w:tcPr/>
          <w:p>
            <w:pPr>
              <w:pStyle w:val="Compact"/>
              <w:jc w:val="left"/>
            </w:pPr>
            <w:r>
              <w:t xml:space="preserve">288,000</w:t>
            </w:r>
          </w:p>
        </w:tc>
      </w:tr>
      <w:tr>
        <w:tc>
          <w:tcPr/>
          <w:p>
            <w:pPr>
              <w:pStyle w:val="Compact"/>
              <w:jc w:val="left"/>
            </w:pPr>
            <w:r>
              <w:t xml:space="preserve">3</w:t>
            </w:r>
          </w:p>
        </w:tc>
        <w:tc>
          <w:tcPr/>
          <w:p>
            <w:pPr>
              <w:pStyle w:val="Compact"/>
              <w:jc w:val="left"/>
            </w:pPr>
            <w:r>
              <w:t xml:space="preserve">Foreign Exchange Advisory &amp; Currency Hedging – The Banker provided FX risk management consulting, executed hedging instruments for the client's USD/EUR exposure, and issued a comprehensive quarterly FX market report specific to the Iraq Baghdad financial corridor.</w:t>
            </w:r>
          </w:p>
        </w:tc>
        <w:tc>
          <w:tcPr/>
          <w:p>
            <w:pPr>
              <w:pStyle w:val="Compact"/>
              <w:jc w:val="left"/>
            </w:pPr>
            <w:r>
              <w:t xml:space="preserve">Q1 – Q2 2025</w:t>
            </w:r>
          </w:p>
        </w:tc>
        <w:tc>
          <w:tcPr/>
          <w:p>
            <w:pPr>
              <w:pStyle w:val="Compact"/>
              <w:jc w:val="left"/>
            </w:pPr>
            <w:r>
              <w:t xml:space="preserve">1,800,000</w:t>
            </w:r>
          </w:p>
        </w:tc>
        <w:tc>
          <w:tcPr/>
          <w:p>
            <w:pPr>
              <w:pStyle w:val="Compact"/>
              <w:jc w:val="left"/>
            </w:pPr>
            <w:r>
              <w:t xml:space="preserve">3,600,000</w:t>
            </w:r>
          </w:p>
        </w:tc>
        <w:tc>
          <w:tcPr/>
          <w:p>
            <w:pPr>
              <w:pStyle w:val="Compact"/>
              <w:jc w:val="left"/>
            </w:pPr>
            <w:r>
              <w:t xml:space="preserve">108,000</w:t>
            </w:r>
          </w:p>
        </w:tc>
      </w:tr>
      <w:tr>
        <w:tc>
          <w:tcPr/>
          <w:p>
            <w:pPr>
              <w:pStyle w:val="Compact"/>
              <w:jc w:val="left"/>
            </w:pPr>
            <w:r>
              <w:t xml:space="preserve">4</w:t>
            </w:r>
          </w:p>
        </w:tc>
        <w:tc>
          <w:tcPr/>
          <w:p>
            <w:pPr>
              <w:pStyle w:val="Compact"/>
              <w:jc w:val="left"/>
            </w:pPr>
            <w:r>
              <w:t xml:space="preserve">Regulatory Compliance &amp; Anti-Money Laundering (AML) Audit Support – The Banker conducted a full AML/KYC compliance review of the client's transaction records, prepared documentation for Central Bank of Iraq inspection, and delivered a remediation action plan.</w:t>
            </w:r>
          </w:p>
        </w:tc>
        <w:tc>
          <w:tcPr/>
          <w:p>
            <w:pPr>
              <w:pStyle w:val="Compact"/>
              <w:jc w:val="left"/>
            </w:pPr>
            <w:r>
              <w:t xml:space="preserve">Apr 2025</w:t>
            </w:r>
          </w:p>
        </w:tc>
        <w:tc>
          <w:tcPr/>
          <w:p>
            <w:pPr>
              <w:pStyle w:val="Compact"/>
              <w:jc w:val="left"/>
            </w:pPr>
            <w:r>
              <w:t xml:space="preserve">4,000,000</w:t>
            </w:r>
          </w:p>
        </w:tc>
        <w:tc>
          <w:tcPr/>
          <w:p>
            <w:pPr>
              <w:pStyle w:val="Compact"/>
              <w:jc w:val="left"/>
            </w:pPr>
            <w:r>
              <w:t xml:space="preserve">4,000,000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Loan Structuring &amp; Syndication Advisory – The Banker advised on a 500,000,000 IQD working capital facility, coordinated with two co-lending banks in Baghdad, and prepared the term sheet and credit memorandum for board approval.</w:t>
            </w:r>
          </w:p>
        </w:tc>
        <w:tc>
          <w:tcPr/>
          <w:p>
            <w:pPr>
              <w:pStyle w:val="Compact"/>
              <w:jc w:val="left"/>
            </w:pPr>
            <w:r>
              <w:t xml:space="preserve">May – Jun 2025</w:t>
            </w:r>
          </w:p>
        </w:tc>
        <w:tc>
          <w:tcPr/>
          <w:p>
            <w:pPr>
              <w:pStyle w:val="Compact"/>
              <w:jc w:val="left"/>
            </w:pPr>
            <w:r>
              <w:t xml:space="preserve">5,500,000</w:t>
            </w:r>
          </w:p>
        </w:tc>
        <w:tc>
          <w:tcPr/>
          <w:p>
            <w:pPr>
              <w:pStyle w:val="Compact"/>
              <w:jc w:val="left"/>
            </w:pPr>
            <w:r>
              <w:t xml:space="preserve">5,500,000</w:t>
            </w:r>
          </w:p>
        </w:tc>
        <w:tc>
          <w:tcPr/>
          <w:p>
            <w:pPr>
              <w:pStyle w:val="Compact"/>
              <w:jc w:val="left"/>
            </w:pPr>
            <w:r>
              <w:t xml:space="preserve">165,000</w:t>
            </w:r>
          </w:p>
        </w:tc>
      </w:tr>
      <w:tr>
        <w:tc>
          <w:tcPr/>
          <w:p>
            <w:pPr>
              <w:pStyle w:val="Compact"/>
              <w:jc w:val="left"/>
            </w:pPr>
            <w:r>
              <w:t xml:space="preserve">6</w:t>
            </w:r>
          </w:p>
        </w:tc>
        <w:tc>
          <w:tcPr/>
          <w:p>
            <w:pPr>
              <w:pStyle w:val="Compact"/>
              <w:jc w:val="left"/>
            </w:pPr>
            <w:r>
              <w:t xml:space="preserve">On-Site Banking Operations Training – The Banker delivered a two-day in-person training session at the client's Baghdad headquarters covering digital banking platforms, SWIFT messaging protocols, and internal control procedures mandated by Iraqi banking law.</w:t>
            </w:r>
          </w:p>
        </w:tc>
        <w:tc>
          <w:tcPr/>
          <w:p>
            <w:pPr>
              <w:pStyle w:val="Compact"/>
              <w:jc w:val="left"/>
            </w:pPr>
            <w:r>
              <w:t xml:space="preserve">12–13 Jun 2025</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40,100,000 IQD</w:t>
            </w:r>
          </w:p>
        </w:tc>
      </w:tr>
      <w:tr>
        <w:tc>
          <w:tcPr/>
          <w:p>
            <w:pPr>
              <w:pStyle w:val="Compact"/>
              <w:jc w:val="left"/>
            </w:pPr>
            <w:r>
              <w:t xml:space="preserve">VAT (3%)</w:t>
            </w:r>
          </w:p>
        </w:tc>
        <w:tc>
          <w:tcPr/>
          <w:p>
            <w:pPr>
              <w:pStyle w:val="Compact"/>
              <w:jc w:val="right"/>
            </w:pPr>
            <w:r>
              <w:t xml:space="preserve">1,203,000 IQD</w:t>
            </w:r>
          </w:p>
        </w:tc>
      </w:tr>
      <w:tr>
        <w:tc>
          <w:tcPr/>
          <w:p>
            <w:pPr>
              <w:pStyle w:val="Compact"/>
              <w:jc w:val="left"/>
            </w:pPr>
            <w:r>
              <w:t xml:space="preserve">Service Fee Surcharge (Iraq Baghdad Operations)</w:t>
            </w:r>
          </w:p>
        </w:tc>
        <w:tc>
          <w:tcPr/>
          <w:p>
            <w:pPr>
              <w:pStyle w:val="Compact"/>
              <w:jc w:val="right"/>
            </w:pPr>
            <w:r>
              <w:t xml:space="preserve">200,000 IQD</w:t>
            </w:r>
          </w:p>
        </w:tc>
      </w:tr>
      <w:tr>
        <w:tc>
          <w:tcPr/>
          <w:p>
            <w:pPr>
              <w:pStyle w:val="Compact"/>
              <w:jc w:val="left"/>
            </w:pPr>
            <w:r>
              <w:t xml:space="preserve">Grand Total Due</w:t>
            </w:r>
          </w:p>
        </w:tc>
        <w:tc>
          <w:tcPr/>
          <w:p>
            <w:pPr>
              <w:pStyle w:val="Compact"/>
              <w:jc w:val="right"/>
            </w:pPr>
            <w:r>
              <w:t xml:space="preserve">41,503,000 IQD</w:t>
            </w:r>
          </w:p>
        </w:tc>
      </w:tr>
    </w:tbl>
    <w:bookmarkStart w:id="24" w:name="payment-banking-details"/>
    <w:p>
      <w:pPr>
        <w:pStyle w:val="Heading3"/>
      </w:pPr>
      <w:r>
        <w:t xml:space="preserve">Payment &amp; Banking Details</w:t>
      </w:r>
    </w:p>
    <w:p>
      <w:pPr>
        <w:pStyle w:val="FirstParagraph"/>
      </w:pPr>
      <w:r>
        <w:rPr>
          <w:bCs/>
          <w:b/>
        </w:rPr>
        <w:t xml:space="preserve">Bank:</w:t>
      </w:r>
      <w:r>
        <w:t xml:space="preserve"> </w:t>
      </w:r>
      <w:r>
        <w:t xml:space="preserve">Central Bank of Iraq – Baghdad Main Branch</w:t>
      </w:r>
    </w:p>
    <w:p>
      <w:pPr>
        <w:pStyle w:val="BodyText"/>
      </w:pPr>
      <w:r>
        <w:rPr>
          <w:bCs/>
          <w:b/>
        </w:rPr>
        <w:t xml:space="preserve">Account Name:</w:t>
      </w:r>
      <w:r>
        <w:t xml:space="preserve"> </w:t>
      </w:r>
      <w:r>
        <w:t xml:space="preserve">Baghdad Financial Services Co.</w:t>
      </w:r>
    </w:p>
    <w:p>
      <w:pPr>
        <w:pStyle w:val="BodyText"/>
      </w:pPr>
      <w:r>
        <w:rPr>
          <w:bCs/>
          <w:b/>
        </w:rPr>
        <w:t xml:space="preserve">IBAN:</w:t>
      </w:r>
      <w:r>
        <w:t xml:space="preserve"> </w:t>
      </w:r>
      <w:r>
        <w:t xml:space="preserve">IQ98 CBI0 0000 0000 1234 5678 9012</w:t>
      </w:r>
    </w:p>
    <w:p>
      <w:pPr>
        <w:pStyle w:val="BodyText"/>
      </w:pPr>
      <w:r>
        <w:rPr>
          <w:bCs/>
          <w:b/>
        </w:rPr>
        <w:t xml:space="preserve">SWIFT/BIC:</w:t>
      </w:r>
      <w:r>
        <w:t xml:space="preserve"> </w:t>
      </w:r>
      <w:r>
        <w:t xml:space="preserve">CBI0IQBB</w:t>
      </w:r>
    </w:p>
    <w:p>
      <w:pPr>
        <w:pStyle w:val="BodyText"/>
      </w:pPr>
      <w:r>
        <w:rPr>
          <w:bCs/>
          <w:b/>
        </w:rPr>
        <w:t xml:space="preserve">Payment Method:</w:t>
      </w:r>
      <w:r>
        <w:t xml:space="preserve"> </w:t>
      </w:r>
      <w:r>
        <w:t xml:space="preserve">Bank transfer in Iraqi Dinar (IQD) only. International wire transfers will be converted at the Central Bank of Iraq's official daily rate.</w:t>
      </w:r>
    </w:p>
    <w:p>
      <w:pPr>
        <w:pStyle w:val="BodyText"/>
      </w:pPr>
      <w:r>
        <w:rPr>
          <w:bCs/>
          <w:b/>
        </w:rPr>
        <w:t xml:space="preserve">Reference:</w:t>
      </w:r>
      <w:r>
        <w:t xml:space="preserve"> </w:t>
      </w:r>
      <w:r>
        <w:t xml:space="preserve">Please cite Invoice No. INV-BAG-2025-00472 in all payment communications.</w:t>
      </w:r>
    </w:p>
    <w:bookmarkEnd w:id="24"/>
    <w:bookmarkStart w:id="25" w:name="terms-conditions-of-this-invoice"/>
    <w:p>
      <w:pPr>
        <w:pStyle w:val="Heading3"/>
      </w:pPr>
      <w:r>
        <w:t xml:space="preserve">Terms &amp; Conditions of This Invoice</w:t>
      </w:r>
    </w:p>
    <w:p>
      <w:pPr>
        <w:numPr>
          <w:ilvl w:val="0"/>
          <w:numId w:val="1001"/>
        </w:numPr>
        <w:pStyle w:val="Compact"/>
      </w:pPr>
      <w:r>
        <w:t xml:space="preserve">This Invoice is issued by a licensed Banker operating under the regulatory authority of the Central Bank of Iraq and is valid for payment within 15 calendar days from the date of issue.</w:t>
      </w:r>
    </w:p>
    <w:p>
      <w:pPr>
        <w:numPr>
          <w:ilvl w:val="0"/>
          <w:numId w:val="1001"/>
        </w:numPr>
        <w:pStyle w:val="Compact"/>
      </w:pPr>
      <w:r>
        <w:t xml:space="preserve">All services rendered by the Banker in Iraq Baghdad are subject to the Banking Law of Iraq (No. 94 of 2004, as amended) and the Central Bank of Iraq's circulars and directives in force at the time of service delivery.</w:t>
      </w:r>
    </w:p>
    <w:p>
      <w:pPr>
        <w:numPr>
          <w:ilvl w:val="0"/>
          <w:numId w:val="1001"/>
        </w:numPr>
        <w:pStyle w:val="Compact"/>
      </w:pPr>
      <w:r>
        <w:t xml:space="preserve">Payment is due in full by 30 June 2025. Late payments will incur a penalty interest of 1.5% per month, calculated on the outstanding balance, in accordance with Iraqi commercial law.</w:t>
      </w:r>
    </w:p>
    <w:p>
      <w:pPr>
        <w:numPr>
          <w:ilvl w:val="0"/>
          <w:numId w:val="1001"/>
        </w:numPr>
        <w:pStyle w:val="Compact"/>
      </w:pPr>
      <w:r>
        <w:t xml:space="preserve">The Banker reserves the right to suspend ongoing advisory services if payment is not received within 30 days of the due date stated on this Invoice.</w:t>
      </w:r>
    </w:p>
    <w:p>
      <w:pPr>
        <w:numPr>
          <w:ilvl w:val="0"/>
          <w:numId w:val="1001"/>
        </w:numPr>
        <w:pStyle w:val="Compact"/>
      </w:pPr>
      <w:r>
        <w:t xml:space="preserve">All banking transactions referenced in this Invoice have been recorded in the Banker's official ledger and are subject to audit by the Central Bank of Iraq's Inspection Department.</w:t>
      </w:r>
    </w:p>
    <w:p>
      <w:pPr>
        <w:numPr>
          <w:ilvl w:val="0"/>
          <w:numId w:val="1001"/>
        </w:numPr>
        <w:pStyle w:val="Compact"/>
      </w:pPr>
      <w:r>
        <w:t xml:space="preserve">This Invoice constitutes a binding financial document. Any disputes arising from the services described herein shall be resolved through the Baghdad Commercial Court in accordance with Iraqi jurisdiction.</w:t>
      </w:r>
    </w:p>
    <w:p>
      <w:pPr>
        <w:numPr>
          <w:ilvl w:val="0"/>
          <w:numId w:val="1001"/>
        </w:numPr>
        <w:pStyle w:val="Compact"/>
      </w:pPr>
      <w:r>
        <w:t xml:space="preserve">The Banker confirms that all foreign exchange operations detailed in this Invoice were executed at the official Central Bank of Iraq rate and comply with the Foreign Exchange Law of Iraq.</w:t>
      </w:r>
    </w:p>
    <w:p>
      <w:pPr>
        <w:numPr>
          <w:ilvl w:val="0"/>
          <w:numId w:val="1001"/>
        </w:numPr>
        <w:pStyle w:val="Compact"/>
      </w:pPr>
      <w:r>
        <w:t xml:space="preserve">Confidentiality: All financial data, account information, and transaction details contained in this Invoice and related documents are strictly confidential and protected under Iraqi banking secrecy provisions.</w:t>
      </w:r>
    </w:p>
    <w:bookmarkEnd w:id="25"/>
    <w:bookmarkStart w:id="26" w:name="additional-notes-compliance-statement"/>
    <w:p>
      <w:pPr>
        <w:pStyle w:val="Heading3"/>
      </w:pPr>
      <w:r>
        <w:t xml:space="preserve">Additional Notes &amp; Compliance Statement</w:t>
      </w:r>
    </w:p>
    <w:p>
      <w:pPr>
        <w:pStyle w:val="FirstParagraph"/>
      </w:pPr>
      <w:r>
        <w:t xml:space="preserve">This Invoice has been prepared and issued by Mr. Tariq Al-Musawi, a duly licensed Banker registered with the Central Bank of Iraq (License No. CBI-BAG-2018-0342), operating from his registered office in the Al-Mansour District of Baghdad, Iraq. The Banker confirms that all services listed above were performed in full compliance with Iraqi banking regulations, anti-money laundering statutes, and international sanctions screening requirements.</w:t>
      </w:r>
    </w:p>
    <w:p>
      <w:pPr>
        <w:pStyle w:val="BodyText"/>
      </w:pPr>
      <w:r>
        <w:t xml:space="preserve">The client acknowledges receipt of this Invoice and agrees to the terms stated herein. A signed copy of this Invoice shall be retained by both parties for a minimum period of seven (7) years as required by the Central Bank of Iraq's record-keeping regulations applicable to all banking institutions and their authorized representatives in Iraq Baghdad.</w:t>
      </w:r>
    </w:p>
    <w:p>
      <w:pPr>
        <w:pStyle w:val="BodyText"/>
      </w:pPr>
      <w:r>
        <w:t xml:space="preserve">This document is the official Invoice for the banking and financial advisory services rendered during the period specified. No additional charges beyond those itemized above shall be levied unless a supplementary Invoice is issued and mutually agreed upon in writing by both the Banker and the client.</w:t>
      </w:r>
    </w:p>
    <w:bookmarkEnd w:id="26"/>
    <w:p>
      <w:pPr>
        <w:pStyle w:val="BodyText"/>
      </w:pPr>
      <w:r>
        <w:rPr>
          <w:bCs/>
          <w:b/>
        </w:rPr>
        <w:t xml:space="preserve">Authorized Signatory:</w:t>
      </w:r>
      <w:r>
        <w:t xml:space="preserve"> </w:t>
      </w:r>
      <w:r>
        <w:t xml:space="preserve">Mr. Tariq Al-Musawi – Senior Banker, Baghdad Financial Services Co.</w:t>
      </w:r>
    </w:p>
    <w:p>
      <w:pPr>
        <w:pStyle w:val="BodyText"/>
      </w:pPr>
      <w:r>
        <w:t xml:space="preserve">Signature: ___________________________     Date: 15 June 2025</w:t>
      </w:r>
    </w:p>
    <w:p>
      <w:pPr>
        <w:pStyle w:val="BodyText"/>
      </w:pPr>
      <w:r>
        <w:t xml:space="preserve">This Invoice was generated in Baghdad, Iraq. For queries regarding this Invoice, please contact the issuing Banker at the address stated above or via the official email channel. Baghdad Financial Services Co. is a registered entity under the Ministry of Commerce, Republic of Iraq.</w:t>
      </w:r>
    </w:p>
    <w:p>
      <w:pPr>
        <w:pStyle w:val="BodyText"/>
      </w:pPr>
      <w:r>
        <w:t xml:space="preserve">© 2025 Baghdad Financial Services Co. | Invoice INV-BAG-2025-00472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Banker Services - Iraq Baghdad</dc:title>
  <dc:creator/>
  <dc:language>en</dc:language>
  <cp:keywords/>
  <dcterms:created xsi:type="dcterms:W3CDTF">2026-10-10T06:23:33Z</dcterms:created>
  <dcterms:modified xsi:type="dcterms:W3CDTF">2026-10-10T06:23:33Z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