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Israel</w:t>
      </w:r>
      <w:r>
        <w:t xml:space="preserve"> </w:t>
      </w:r>
      <w:r>
        <w:t xml:space="preserve">Tel</w:t>
      </w:r>
      <w:r>
        <w:t xml:space="preserve"> </w:t>
      </w:r>
      <w:r>
        <w:t xml:space="preserve">Aviv</w:t>
      </w:r>
    </w:p>
    <w:bookmarkStart w:id="20" w:name="david-ben-ari-cfa"/>
    <w:p>
      <w:pPr>
        <w:pStyle w:val="Heading1"/>
      </w:pPr>
      <w:r>
        <w:t xml:space="preserve">David Ben-Ari, CFA</w:t>
      </w:r>
    </w:p>
    <w:p>
      <w:pPr>
        <w:pStyle w:val="FirstParagraph"/>
      </w:pPr>
      <w:r>
        <w:t xml:space="preserve">Senior Banker &amp; Financial Advisor</w:t>
      </w:r>
    </w:p>
    <w:p>
      <w:pPr>
        <w:pStyle w:val="BodyText"/>
      </w:pPr>
      <w:r>
        <w:t xml:space="preserve">Levinsky Street 42, Floor 18</w:t>
      </w:r>
    </w:p>
    <w:p>
      <w:pPr>
        <w:pStyle w:val="BodyText"/>
      </w:pPr>
      <w:r>
        <w:t xml:space="preserve">Tel Aviv-Yafo, Israel 6350000</w:t>
      </w:r>
    </w:p>
    <w:p>
      <w:pPr>
        <w:pStyle w:val="BodyText"/>
      </w:pPr>
      <w:r>
        <w:t xml:space="preserve">Tel: +972-3-621-4580</w:t>
      </w:r>
    </w:p>
    <w:p>
      <w:pPr>
        <w:pStyle w:val="BodyText"/>
      </w:pPr>
      <w:r>
        <w:t xml:space="preserve">Email: d.benari@bankerservices-il.com</w:t>
      </w:r>
    </w:p>
    <w:p>
      <w:pPr>
        <w:pStyle w:val="BodyText"/>
      </w:pPr>
      <w:r>
        <w:t xml:space="preserve">VAT No. 51-234-567-8</w:t>
      </w:r>
    </w:p>
    <w:bookmarkEnd w:id="20"/>
    <w:p>
      <w:pPr>
        <w:pStyle w:val="BodyText"/>
      </w:pPr>
      <w:r>
        <w:t xml:space="preserve">Official Invoice</w:t>
      </w:r>
    </w:p>
    <w:bookmarkStart w:id="21" w:name="invoice"/>
    <w:p>
      <w:pPr>
        <w:pStyle w:val="Heading2"/>
      </w:pPr>
      <w:r>
        <w:t xml:space="preserve">INVOICE</w:t>
      </w:r>
    </w:p>
    <w:p>
      <w:pPr>
        <w:pStyle w:val="FirstParagraph"/>
      </w:pPr>
      <w:r>
        <w:t xml:space="preserve">Invoice No: IL-TLV-2025-04872</w:t>
      </w:r>
    </w:p>
    <w:p>
      <w:pPr>
        <w:pStyle w:val="BodyText"/>
      </w:pPr>
      <w:r>
        <w:t xml:space="preserve">Date: June 15, 2025</w:t>
      </w:r>
    </w:p>
    <w:p>
      <w:pPr>
        <w:pStyle w:val="BodyText"/>
      </w:pPr>
      <w:r>
        <w:t xml:space="preserve">Due Date: July 15, 2025</w:t>
      </w:r>
    </w:p>
    <w:bookmarkEnd w:id="21"/>
    <w:bookmarkStart w:id="22" w:name="billed-to-client"/>
    <w:p>
      <w:pPr>
        <w:pStyle w:val="Heading3"/>
      </w:pPr>
      <w:r>
        <w:t xml:space="preserve">Billed To (Client)</w:t>
      </w:r>
    </w:p>
    <w:p>
      <w:pPr>
        <w:pStyle w:val="FirstParagraph"/>
      </w:pPr>
      <w:r>
        <w:t xml:space="preserve">Company:</w:t>
      </w:r>
      <w:r>
        <w:t xml:space="preserve"> </w:t>
      </w:r>
      <w:r>
        <w:t xml:space="preserve">Mediterranean Holdings Ltd.</w:t>
      </w:r>
    </w:p>
    <w:p>
      <w:pPr>
        <w:pStyle w:val="BodyText"/>
      </w:pPr>
      <w:r>
        <w:t xml:space="preserve">Address:</w:t>
      </w:r>
      <w:r>
        <w:t xml:space="preserve"> </w:t>
      </w:r>
      <w:r>
        <w:t xml:space="preserve">Rothschild Boulevard 15, Tel Aviv, Israel</w:t>
      </w:r>
    </w:p>
    <w:p>
      <w:pPr>
        <w:pStyle w:val="BodyText"/>
      </w:pPr>
      <w:r>
        <w:t xml:space="preserve">Contact:</w:t>
      </w:r>
      <w:r>
        <w:t xml:space="preserve"> </w:t>
      </w:r>
      <w:r>
        <w:t xml:space="preserve">Mrs. Sarah Goldstein, CFO</w:t>
      </w:r>
    </w:p>
    <w:p>
      <w:pPr>
        <w:pStyle w:val="BodyText"/>
      </w:pPr>
      <w:r>
        <w:t xml:space="preserve">Email:</w:t>
      </w:r>
      <w:r>
        <w:t xml:space="preserve"> </w:t>
      </w:r>
      <w:r>
        <w:t xml:space="preserve">s.goldstein@medholdings.co.il</w:t>
      </w:r>
    </w:p>
    <w:p>
      <w:pPr>
        <w:pStyle w:val="BodyText"/>
      </w:pPr>
      <w:r>
        <w:t xml:space="preserve">Client VAT No.:</w:t>
      </w:r>
      <w:r>
        <w:t xml:space="preserve"> </w:t>
      </w:r>
      <w:r>
        <w:t xml:space="preserve">51-987-654-3</w:t>
      </w:r>
    </w:p>
    <w:bookmarkEnd w:id="22"/>
    <w:bookmarkStart w:id="23" w:name="invoice-reference"/>
    <w:p>
      <w:pPr>
        <w:pStyle w:val="Heading3"/>
      </w:pPr>
      <w:r>
        <w:t xml:space="preserve">Invoice Reference</w:t>
      </w:r>
    </w:p>
    <w:p>
      <w:pPr>
        <w:pStyle w:val="FirstParagraph"/>
      </w:pPr>
      <w:r>
        <w:t xml:space="preserve">Service Period:</w:t>
      </w:r>
      <w:r>
        <w:t xml:space="preserve"> </w:t>
      </w:r>
      <w:r>
        <w:t xml:space="preserve">May 1 – May 31, 2025</w:t>
      </w:r>
    </w:p>
    <w:p>
      <w:pPr>
        <w:pStyle w:val="BodyText"/>
      </w:pPr>
      <w:r>
        <w:t xml:space="preserve">Banker Assigned:</w:t>
      </w:r>
      <w:r>
        <w:t xml:space="preserve"> </w:t>
      </w:r>
      <w:r>
        <w:t xml:space="preserve">David Ben-Ari, CFA</w:t>
      </w:r>
    </w:p>
    <w:p>
      <w:pPr>
        <w:pStyle w:val="BodyText"/>
      </w:pPr>
      <w:r>
        <w:t xml:space="preserve">Engagement Type:</w:t>
      </w:r>
      <w:r>
        <w:t xml:space="preserve"> </w:t>
      </w:r>
      <w:r>
        <w:t xml:space="preserve">Ongoing Advisory</w:t>
      </w:r>
    </w:p>
    <w:p>
      <w:pPr>
        <w:pStyle w:val="BodyText"/>
      </w:pPr>
      <w:r>
        <w:t xml:space="preserve">Currency:</w:t>
      </w:r>
      <w:r>
        <w:t xml:space="preserve"> </w:t>
      </w:r>
      <w:r>
        <w:t xml:space="preserve">Israeli New Shekel (ILS / ₪)</w:t>
      </w:r>
    </w:p>
    <w:p>
      <w:pPr>
        <w:pStyle w:val="BodyText"/>
      </w:pPr>
      <w:r>
        <w:t xml:space="preserve">Payment Method:</w:t>
      </w:r>
      <w:r>
        <w:t xml:space="preserve"> </w:t>
      </w:r>
      <w:r>
        <w:t xml:space="preserve">Bank Transfer (IBAN)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Banker Services</w:t>
            </w:r>
          </w:p>
        </w:tc>
        <w:tc>
          <w:tcPr/>
          <w:p>
            <w:pPr>
              <w:pStyle w:val="Compact"/>
              <w:jc w:val="left"/>
            </w:pPr>
            <w:r>
              <w:t xml:space="preserve">Date Rendered</w:t>
            </w:r>
          </w:p>
        </w:tc>
        <w:tc>
          <w:tcPr/>
          <w:p>
            <w:pPr>
              <w:pStyle w:val="Compact"/>
              <w:jc w:val="left"/>
            </w:pPr>
            <w:r>
              <w:t xml:space="preserve">Hours / Units</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t xml:space="preserve">Corporate banking strategy consultation for Mediterranean Holdings Ltd. in Tel Aviv, Israel. The Banker provided comprehensive analysis of multi-currency loan structures and interest rate hedging options tailored to the client's operations in the Tel Aviv financial district.</w:t>
            </w:r>
          </w:p>
        </w:tc>
        <w:tc>
          <w:tcPr/>
          <w:p>
            <w:pPr>
              <w:pStyle w:val="Compact"/>
              <w:jc w:val="left"/>
            </w:pPr>
            <w:r>
              <w:t xml:space="preserve">May 5, 2025</w:t>
            </w:r>
          </w:p>
        </w:tc>
        <w:tc>
          <w:tcPr/>
          <w:p>
            <w:pPr>
              <w:pStyle w:val="Compact"/>
              <w:jc w:val="left"/>
            </w:pPr>
            <w:r>
              <w:t xml:space="preserve">6 hours</w:t>
            </w:r>
          </w:p>
        </w:tc>
        <w:tc>
          <w:tcPr/>
          <w:p>
            <w:pPr>
              <w:pStyle w:val="Compact"/>
              <w:jc w:val="left"/>
            </w:pPr>
            <w:r>
              <w:t xml:space="preserve">₪1,200</w:t>
            </w:r>
          </w:p>
        </w:tc>
        <w:tc>
          <w:tcPr/>
          <w:p>
            <w:pPr>
              <w:pStyle w:val="Compact"/>
              <w:jc w:val="left"/>
            </w:pPr>
            <w:r>
              <w:t xml:space="preserve">₪7,200.00</w:t>
            </w:r>
          </w:p>
        </w:tc>
      </w:tr>
      <w:tr>
        <w:tc>
          <w:tcPr/>
          <w:p>
            <w:pPr>
              <w:pStyle w:val="Compact"/>
              <w:jc w:val="left"/>
            </w:pPr>
            <w:r>
              <w:t xml:space="preserve">2</w:t>
            </w:r>
          </w:p>
        </w:tc>
        <w:tc>
          <w:tcPr/>
          <w:p>
            <w:pPr>
              <w:pStyle w:val="Compact"/>
              <w:jc w:val="left"/>
            </w:pPr>
            <w:r>
              <w:t xml:space="preserve">Quarterly portfolio review and rebalancing advisory. The Banker conducted a thorough assessment of the client's equity and fixed-income holdings, recommending adjustments aligned with current Israel Tel Aviv market conditions and the Bank of Israel's monetary policy outlook.</w:t>
            </w:r>
          </w:p>
        </w:tc>
        <w:tc>
          <w:tcPr/>
          <w:p>
            <w:pPr>
              <w:pStyle w:val="Compact"/>
              <w:jc w:val="left"/>
            </w:pPr>
            <w:r>
              <w:t xml:space="preserve">May 12, 2025</w:t>
            </w:r>
          </w:p>
        </w:tc>
        <w:tc>
          <w:tcPr/>
          <w:p>
            <w:pPr>
              <w:pStyle w:val="Compact"/>
              <w:jc w:val="left"/>
            </w:pPr>
            <w:r>
              <w:t xml:space="preserve">4 hours</w:t>
            </w:r>
          </w:p>
        </w:tc>
        <w:tc>
          <w:tcPr/>
          <w:p>
            <w:pPr>
              <w:pStyle w:val="Compact"/>
              <w:jc w:val="left"/>
            </w:pPr>
            <w:r>
              <w:t xml:space="preserve">₪1,200</w:t>
            </w:r>
          </w:p>
        </w:tc>
        <w:tc>
          <w:tcPr/>
          <w:p>
            <w:pPr>
              <w:pStyle w:val="Compact"/>
              <w:jc w:val="left"/>
            </w:pPr>
            <w:r>
              <w:t xml:space="preserve">₪4,800.00</w:t>
            </w:r>
          </w:p>
        </w:tc>
      </w:tr>
      <w:tr>
        <w:tc>
          <w:tcPr/>
          <w:p>
            <w:pPr>
              <w:pStyle w:val="Compact"/>
              <w:jc w:val="left"/>
            </w:pPr>
            <w:r>
              <w:t xml:space="preserve">3</w:t>
            </w:r>
          </w:p>
        </w:tc>
        <w:tc>
          <w:tcPr/>
          <w:p>
            <w:pPr>
              <w:pStyle w:val="Compact"/>
              <w:jc w:val="left"/>
            </w:pPr>
            <w:r>
              <w:t xml:space="preserve">Regulatory compliance advisory under Israeli Banking Law (5731-1980). The Banker reviewed the client's internal risk management frameworks and ensured full alignment with the Israel Securities Authority and Bank of Israel guidelines applicable to financial institutions operating in Tel Aviv.</w:t>
            </w:r>
          </w:p>
        </w:tc>
        <w:tc>
          <w:tcPr/>
          <w:p>
            <w:pPr>
              <w:pStyle w:val="Compact"/>
              <w:jc w:val="left"/>
            </w:pPr>
            <w:r>
              <w:t xml:space="preserve">May 19, 2025</w:t>
            </w:r>
          </w:p>
        </w:tc>
        <w:tc>
          <w:tcPr/>
          <w:p>
            <w:pPr>
              <w:pStyle w:val="Compact"/>
              <w:jc w:val="left"/>
            </w:pPr>
            <w:r>
              <w:t xml:space="preserve">5 hours</w:t>
            </w:r>
          </w:p>
        </w:tc>
        <w:tc>
          <w:tcPr/>
          <w:p>
            <w:pPr>
              <w:pStyle w:val="Compact"/>
              <w:jc w:val="left"/>
            </w:pPr>
            <w:r>
              <w:t xml:space="preserve">₪1,200</w:t>
            </w:r>
          </w:p>
        </w:tc>
        <w:tc>
          <w:tcPr/>
          <w:p>
            <w:pPr>
              <w:pStyle w:val="Compact"/>
              <w:jc w:val="left"/>
            </w:pPr>
            <w:r>
              <w:t xml:space="preserve">₪6,000.00</w:t>
            </w:r>
          </w:p>
        </w:tc>
      </w:tr>
      <w:tr>
        <w:tc>
          <w:tcPr/>
          <w:p>
            <w:pPr>
              <w:pStyle w:val="Compact"/>
              <w:jc w:val="left"/>
            </w:pPr>
            <w:r>
              <w:t xml:space="preserve">4</w:t>
            </w:r>
          </w:p>
        </w:tc>
        <w:tc>
          <w:tcPr/>
          <w:p>
            <w:pPr>
              <w:pStyle w:val="Compact"/>
              <w:jc w:val="left"/>
            </w:pPr>
            <w:r>
              <w:t xml:space="preserve">Trade finance structuring for international procurement. The Banker designed a letter of credit facility and documentary collection mechanism to support the client's import operations between Israel Tel Aviv and European trading partners, including all necessary banking documentation.</w:t>
            </w:r>
          </w:p>
        </w:tc>
        <w:tc>
          <w:tcPr/>
          <w:p>
            <w:pPr>
              <w:pStyle w:val="Compact"/>
              <w:jc w:val="left"/>
            </w:pPr>
            <w:r>
              <w:t xml:space="preserve">May 23, 2025</w:t>
            </w:r>
          </w:p>
        </w:tc>
        <w:tc>
          <w:tcPr/>
          <w:p>
            <w:pPr>
              <w:pStyle w:val="Compact"/>
              <w:jc w:val="left"/>
            </w:pPr>
            <w:r>
              <w:t xml:space="preserve">8 hours</w:t>
            </w:r>
          </w:p>
        </w:tc>
        <w:tc>
          <w:tcPr/>
          <w:p>
            <w:pPr>
              <w:pStyle w:val="Compact"/>
              <w:jc w:val="left"/>
            </w:pPr>
            <w:r>
              <w:t xml:space="preserve">₪1,200</w:t>
            </w:r>
          </w:p>
        </w:tc>
        <w:tc>
          <w:tcPr/>
          <w:p>
            <w:pPr>
              <w:pStyle w:val="Compact"/>
              <w:jc w:val="left"/>
            </w:pPr>
            <w:r>
              <w:t xml:space="preserve">₪9,600.00</w:t>
            </w:r>
          </w:p>
        </w:tc>
      </w:tr>
      <w:tr>
        <w:tc>
          <w:tcPr/>
          <w:p>
            <w:pPr>
              <w:pStyle w:val="Compact"/>
              <w:jc w:val="left"/>
            </w:pPr>
            <w:r>
              <w:t xml:space="preserve">5</w:t>
            </w:r>
          </w:p>
        </w:tc>
        <w:tc>
          <w:tcPr/>
          <w:p>
            <w:pPr>
              <w:pStyle w:val="Compact"/>
              <w:jc w:val="left"/>
            </w:pPr>
            <w:r>
              <w:t xml:space="preserve">Executive briefing and presentation to the Board of Directors. The Banker prepared and delivered a detailed financial outlook presentation covering liquidity management, capital adequacy ratios, and projected cash flow scenarios for the upcoming fiscal year in Israel Tel Aviv.</w:t>
            </w:r>
          </w:p>
        </w:tc>
        <w:tc>
          <w:tcPr/>
          <w:p>
            <w:pPr>
              <w:pStyle w:val="Compact"/>
              <w:jc w:val="left"/>
            </w:pPr>
            <w:r>
              <w:t xml:space="preserve">May 28, 2025</w:t>
            </w:r>
          </w:p>
        </w:tc>
        <w:tc>
          <w:tcPr/>
          <w:p>
            <w:pPr>
              <w:pStyle w:val="Compact"/>
              <w:jc w:val="left"/>
            </w:pPr>
            <w:r>
              <w:t xml:space="preserve">3 hours</w:t>
            </w:r>
          </w:p>
        </w:tc>
        <w:tc>
          <w:tcPr/>
          <w:p>
            <w:pPr>
              <w:pStyle w:val="Compact"/>
              <w:jc w:val="left"/>
            </w:pPr>
            <w:r>
              <w:t xml:space="preserve">₪1,500</w:t>
            </w:r>
          </w:p>
        </w:tc>
        <w:tc>
          <w:tcPr/>
          <w:p>
            <w:pPr>
              <w:pStyle w:val="Compact"/>
              <w:jc w:val="left"/>
            </w:pPr>
            <w:r>
              <w:t xml:space="preserve">₪4,500.00</w:t>
            </w:r>
          </w:p>
        </w:tc>
      </w:tr>
    </w:tbl>
    <w:p>
      <w:pPr>
        <w:pStyle w:val="BodyText"/>
      </w:pPr>
      <w:r>
        <w:t xml:space="preserve">Subtotal:</w:t>
      </w:r>
      <w:r>
        <w:t xml:space="preserve"> </w:t>
      </w:r>
      <w:r>
        <w:t xml:space="preserve">₪32,100.00</w:t>
      </w:r>
    </w:p>
    <w:p>
      <w:pPr>
        <w:pStyle w:val="BodyText"/>
      </w:pPr>
      <w:r>
        <w:t xml:space="preserve">VAT (18%):</w:t>
      </w:r>
      <w:r>
        <w:t xml:space="preserve"> </w:t>
      </w:r>
      <w:r>
        <w:t xml:space="preserve">₪5,778.00</w:t>
      </w:r>
    </w:p>
    <w:p>
      <w:pPr>
        <w:pStyle w:val="BodyText"/>
      </w:pPr>
      <w:r>
        <w:t xml:space="preserve">Total Due (₪):</w:t>
      </w:r>
      <w:r>
        <w:t xml:space="preserve"> </w:t>
      </w:r>
      <w:r>
        <w:t xml:space="preserve">₪37,878.00</w:t>
      </w:r>
    </w:p>
    <w:p>
      <w:pPr>
        <w:pStyle w:val="BodyText"/>
      </w:pPr>
      <w:r>
        <w:t xml:space="preserve">* VAT is calculated in accordance with the Israeli Value Added Tax Law, 5736-1975. This Invoice is issued in compliance with the requirements of the Israel Tax Authority for electronic invoicing. The Banker's services are subject to the professional standards set by the Israel Banking Association and the Israel Securities Authority.</w:t>
      </w:r>
    </w:p>
    <w:bookmarkStart w:id="24" w:name="payment-terms-conditions"/>
    <w:p>
      <w:pPr>
        <w:pStyle w:val="Heading3"/>
      </w:pPr>
      <w:r>
        <w:t xml:space="preserve">Payment Terms &amp; Conditions</w:t>
      </w:r>
    </w:p>
    <w:p>
      <w:pPr>
        <w:pStyle w:val="FirstParagraph"/>
      </w:pPr>
      <w:r>
        <w:t xml:space="preserve">This Invoice is issued by the undersigned Banker, David Ben-Ari, operating from his registered office in Tel Aviv, Israel. All payments referenced in this Invoice document must be settled within thirty (30) calendar days from the date of issuance, no later than July 15, 2025.</w:t>
      </w:r>
    </w:p>
    <w:p>
      <w:pPr>
        <w:numPr>
          <w:ilvl w:val="0"/>
          <w:numId w:val="1001"/>
        </w:numPr>
        <w:pStyle w:val="Compact"/>
      </w:pPr>
      <w:r>
        <w:rPr>
          <w:bCs/>
          <w:b/>
        </w:rPr>
        <w:t xml:space="preserve">Payment Method:</w:t>
      </w:r>
      <w:r>
        <w:t xml:space="preserve"> </w:t>
      </w:r>
      <w:r>
        <w:t xml:space="preserve">Bank transfer to the Banker's designated account at Bank Leumi, Tel Aviv Branch. IBAN: IL15 0123 4567 8901 2345 678. Please reference Invoice No. IL-TLV-2025-04872 in the transfer memo.</w:t>
      </w:r>
    </w:p>
    <w:p>
      <w:pPr>
        <w:numPr>
          <w:ilvl w:val="0"/>
          <w:numId w:val="1001"/>
        </w:numPr>
        <w:pStyle w:val="Compact"/>
      </w:pPr>
      <w:r>
        <w:rPr>
          <w:bCs/>
          <w:b/>
        </w:rPr>
        <w:t xml:space="preserve">Late Payment:</w:t>
      </w:r>
      <w:r>
        <w:t xml:space="preserve"> </w:t>
      </w:r>
      <w:r>
        <w:t xml:space="preserve">In the event of non-payment by the due date, a late fee of 1.5% per month (or the maximum rate permitted under Israeli law, whichever is lower) shall be applied to the outstanding balance as stipulated in the Banker's standard engagement agreement.</w:t>
      </w:r>
    </w:p>
    <w:p>
      <w:pPr>
        <w:numPr>
          <w:ilvl w:val="0"/>
          <w:numId w:val="1001"/>
        </w:numPr>
        <w:pStyle w:val="Compact"/>
      </w:pPr>
      <w:r>
        <w:rPr>
          <w:bCs/>
          <w:b/>
        </w:rPr>
        <w:t xml:space="preserve">Disputes:</w:t>
      </w:r>
      <w:r>
        <w:t xml:space="preserve"> </w:t>
      </w:r>
      <w:r>
        <w:t xml:space="preserve">Any disputes arising from this Invoice or the Banker services rendered shall be governed by the laws of the State of Israel and subject to the exclusive jurisdiction of the courts in Tel Aviv, Israel.</w:t>
      </w:r>
    </w:p>
    <w:p>
      <w:pPr>
        <w:numPr>
          <w:ilvl w:val="0"/>
          <w:numId w:val="1001"/>
        </w:numPr>
        <w:pStyle w:val="Compact"/>
      </w:pPr>
      <w:r>
        <w:rPr>
          <w:bCs/>
          <w:b/>
        </w:rPr>
        <w:t xml:space="preserve">Confidentiality:</w:t>
      </w:r>
      <w:r>
        <w:t xml:space="preserve"> </w:t>
      </w:r>
      <w:r>
        <w:t xml:space="preserve">All financial data, client information, and advisory recommendations contained within this Invoice and the associated Banker engagement remain strictly confidential in accordance with Israeli data protection regulations.</w:t>
      </w:r>
    </w:p>
    <w:p>
      <w:pPr>
        <w:numPr>
          <w:ilvl w:val="0"/>
          <w:numId w:val="1001"/>
        </w:numPr>
        <w:pStyle w:val="Compact"/>
      </w:pPr>
      <w:r>
        <w:rPr>
          <w:bCs/>
          <w:b/>
        </w:rPr>
        <w:t xml:space="preserve">Validity:</w:t>
      </w:r>
      <w:r>
        <w:t xml:space="preserve"> </w:t>
      </w:r>
      <w:r>
        <w:t xml:space="preserve">This Invoice is valid for a period of ninety (90) days from the date of issue. After this period, the Banker reserves the right to reissue the Invoice with updated terms.</w:t>
      </w:r>
    </w:p>
    <w:bookmarkEnd w:id="24"/>
    <w:bookmarkStart w:id="25" w:name="bankers-certification"/>
    <w:p>
      <w:pPr>
        <w:pStyle w:val="Heading3"/>
      </w:pPr>
      <w:r>
        <w:t xml:space="preserve">Banker's Certification</w:t>
      </w:r>
    </w:p>
    <w:p>
      <w:pPr>
        <w:pStyle w:val="FirstParagraph"/>
      </w:pPr>
      <w:r>
        <w:t xml:space="preserve">I, David Ben-Ari, hereby certify that the services described in this Invoice were personally rendered by me in my capacity as a licensed Banker and financial advisor registered with the Israel Securities Authority. All advisory work was conducted in Tel Aviv, Israel, in full compliance with professional banking standards, the Israel Banking Law, and applicable fiduciary obligations owed to the client. This Invoice accurately reflects the scope, duration, and value of the Banker services provided during the stated engagement period.</w:t>
      </w:r>
    </w:p>
    <w:p>
      <w:pPr>
        <w:pStyle w:val="BodyText"/>
      </w:pPr>
      <w:r>
        <w:rPr>
          <w:bCs/>
          <w:b/>
        </w:rPr>
        <w:t xml:space="preserve">Signature:</w:t>
      </w:r>
      <w:r>
        <w:t xml:space="preserve"> </w:t>
      </w:r>
      <w:r>
        <w:t xml:space="preserve">___________________________</w:t>
      </w:r>
    </w:p>
    <w:p>
      <w:pPr>
        <w:pStyle w:val="BodyText"/>
      </w:pPr>
      <w:r>
        <w:rPr>
          <w:bCs/>
          <w:b/>
        </w:rPr>
        <w:t xml:space="preserve">Name:</w:t>
      </w:r>
      <w:r>
        <w:t xml:space="preserve"> </w:t>
      </w:r>
      <w:r>
        <w:t xml:space="preserve">David Ben-Ari, CFA</w:t>
      </w:r>
    </w:p>
    <w:p>
      <w:pPr>
        <w:pStyle w:val="BodyText"/>
      </w:pPr>
      <w:r>
        <w:rPr>
          <w:bCs/>
          <w:b/>
        </w:rPr>
        <w:t xml:space="preserve">Title:</w:t>
      </w:r>
      <w:r>
        <w:t xml:space="preserve"> </w:t>
      </w:r>
      <w:r>
        <w:t xml:space="preserve">Senior Banker &amp; Financial Advisor</w:t>
      </w:r>
    </w:p>
    <w:p>
      <w:pPr>
        <w:pStyle w:val="BodyText"/>
      </w:pPr>
      <w:r>
        <w:rPr>
          <w:bCs/>
          <w:b/>
        </w:rPr>
        <w:t xml:space="preserve">Date:</w:t>
      </w:r>
      <w:r>
        <w:t xml:space="preserve"> </w:t>
      </w:r>
      <w:r>
        <w:t xml:space="preserve">June 15, 2025</w:t>
      </w:r>
    </w:p>
    <w:p>
      <w:pPr>
        <w:pStyle w:val="BodyText"/>
      </w:pPr>
      <w:r>
        <w:rPr>
          <w:bCs/>
          <w:b/>
        </w:rPr>
        <w:t xml:space="preserve">Location:</w:t>
      </w:r>
      <w:r>
        <w:t xml:space="preserve"> </w:t>
      </w:r>
      <w:r>
        <w:t xml:space="preserve">Tel Aviv, Israel</w:t>
      </w:r>
    </w:p>
    <w:bookmarkEnd w:id="25"/>
    <w:p>
      <w:pPr>
        <w:pStyle w:val="BodyText"/>
      </w:pPr>
      <w:r>
        <w:t xml:space="preserve">This Invoice was generated electronically and is valid without a physical signature in accordance with the Israeli Electronic Signature Law, 5761-2001.</w:t>
      </w:r>
    </w:p>
    <w:p>
      <w:pPr>
        <w:pStyle w:val="BodyText"/>
      </w:pPr>
      <w:r>
        <w:t xml:space="preserve">Banker Services Ltd. | Levinsky Street 42, Tel Aviv-Yafo, Israel 6350000 | Tel: +972-3-621-4580 | VAT: 51-234-567-8</w:t>
      </w:r>
    </w:p>
    <w:p>
      <w:pPr>
        <w:pStyle w:val="BodyText"/>
      </w:pPr>
      <w:r>
        <w:t xml:space="preserve">© 2025 Banker Services Ltd. All rights reserved. This Invoice document is the property of the issuing Banker and may not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Banker Services - Israel Tel Aviv</dc:title>
  <dc:creator/>
  <dc:language>en</dc:language>
  <cp:keywords/>
  <dcterms:created xsi:type="dcterms:W3CDTF">2026-10-10T08:46:53Z</dcterms:created>
  <dcterms:modified xsi:type="dcterms:W3CDTF">2026-10-10T08:46:53Z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