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Banker Services — Japan Kyoto Region</w:t>
      </w:r>
    </w:p>
    <w:bookmarkEnd w:id="20"/>
    <w:p>
      <w:pPr>
        <w:pStyle w:val="BodyText"/>
      </w:pPr>
      <w:r>
        <w:rPr>
          <w:bCs/>
          <w:b/>
        </w:rPr>
        <w:t xml:space="preserve">Kyoto Metropolitan Banking Advisory Group</w:t>
      </w:r>
      <w:r>
        <w:br/>
      </w:r>
      <w:r>
        <w:t xml:space="preserve">12-4, Shijo-Dori, Nakagyo-ku</w:t>
      </w:r>
      <w:r>
        <w:br/>
      </w:r>
      <w:r>
        <w:t xml:space="preserve">Japan Kyoto, 604-8001</w:t>
      </w:r>
      <w:r>
        <w:br/>
      </w:r>
      <w:r>
        <w:t xml:space="preserve">Tel: +81-75-555-0142</w:t>
      </w:r>
      <w:r>
        <w:br/>
      </w:r>
      <w:r>
        <w:t xml:space="preserve">Email: billing@kyoto-banking-advisory.jp</w:t>
      </w:r>
      <w:r>
        <w:br/>
      </w:r>
      <w:r>
        <w:t xml:space="preserve">Corporate Registration: JP-2024-KYO-88471</w:t>
      </w:r>
    </w:p>
    <w:bookmarkStart w:id="21" w:name="invoice-details"/>
    <w:p>
      <w:pPr>
        <w:pStyle w:val="Heading3"/>
      </w:pPr>
      <w:r>
        <w:t xml:space="preserve">Invoice Details</w:t>
      </w:r>
    </w:p>
    <w:p>
      <w:pPr>
        <w:pStyle w:val="FirstParagraph"/>
      </w:pPr>
      <w:r>
        <w:t xml:space="preserve">Invoice Number:</w:t>
      </w:r>
      <w:r>
        <w:t xml:space="preserve"> </w:t>
      </w:r>
      <w:r>
        <w:t xml:space="preserve">KYO-BNK-2025-00472</w:t>
      </w:r>
    </w:p>
    <w:p>
      <w:pPr>
        <w:pStyle w:val="BodyText"/>
      </w:pPr>
      <w:r>
        <w:t xml:space="preserve">Invoice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Currency:</w:t>
      </w:r>
      <w:r>
        <w:t xml:space="preserve"> </w:t>
      </w:r>
      <w:r>
        <w:t xml:space="preserve">Japanese Yen (JPY)</w:t>
      </w:r>
    </w:p>
    <w:bookmarkEnd w:id="21"/>
    <w:bookmarkStart w:id="22" w:name="billed-to"/>
    <w:p>
      <w:pPr>
        <w:pStyle w:val="Heading3"/>
      </w:pPr>
      <w:r>
        <w:t xml:space="preserve">Billed To</w:t>
      </w:r>
    </w:p>
    <w:p>
      <w:pPr>
        <w:pStyle w:val="FirstParagraph"/>
      </w:pPr>
      <w:r>
        <w:t xml:space="preserve">Hoshino Trading &amp; Commerce Co., Ltd.</w:t>
      </w:r>
    </w:p>
    <w:p>
      <w:pPr>
        <w:pStyle w:val="BodyText"/>
      </w:pPr>
      <w:r>
        <w:t xml:space="preserve">45-2, Gion-Shijo, Higashiyama-ku</w:t>
      </w:r>
    </w:p>
    <w:p>
      <w:pPr>
        <w:pStyle w:val="BodyText"/>
      </w:pPr>
      <w:r>
        <w:t xml:space="preserve">Japan Kyoto, 605-0073</w:t>
      </w:r>
    </w:p>
    <w:p>
      <w:pPr>
        <w:pStyle w:val="BodyText"/>
      </w:pPr>
      <w:r>
        <w:t xml:space="preserve">Attn: Mr. Kenji Tanaka, CFO</w:t>
      </w:r>
    </w:p>
    <w:bookmarkEnd w:id="22"/>
    <w:bookmarkStart w:id="23" w:name="service-provider"/>
    <w:p>
      <w:pPr>
        <w:pStyle w:val="Heading3"/>
      </w:pPr>
      <w:r>
        <w:t xml:space="preserve">Service Provider</w:t>
      </w:r>
    </w:p>
    <w:p>
      <w:pPr>
        <w:pStyle w:val="FirstParagraph"/>
      </w:pPr>
      <w:r>
        <w:t xml:space="preserve">Banker: Mr. Hiroshi Yamamoto</w:t>
      </w:r>
    </w:p>
    <w:p>
      <w:pPr>
        <w:pStyle w:val="BodyText"/>
      </w:pPr>
      <w:r>
        <w:t xml:space="preserve">Senior Corporate Banker, CFA</w:t>
      </w:r>
    </w:p>
    <w:p>
      <w:pPr>
        <w:pStyle w:val="BodyText"/>
      </w:pPr>
      <w:r>
        <w:t xml:space="preserve">Licensed Banking Professional</w:t>
      </w:r>
    </w:p>
    <w:p>
      <w:pPr>
        <w:pStyle w:val="BodyText"/>
      </w:pPr>
      <w:r>
        <w:t xml:space="preserve">Japan Kyoto Financial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Service Period</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Corporate Banking Advisory — The Banker provided comprehensive corporate banking strategy consultation for the Japan Kyoto office, including liquidity management, treasury optimization, and multi-currency account structuring for regional operations.</w:t>
            </w:r>
          </w:p>
        </w:tc>
        <w:tc>
          <w:tcPr/>
          <w:p>
            <w:pPr>
              <w:pStyle w:val="Compact"/>
              <w:jc w:val="left"/>
            </w:pPr>
            <w:r>
              <w:t xml:space="preserve">Jan 2025 – Mar 2025</w:t>
            </w:r>
          </w:p>
        </w:tc>
        <w:tc>
          <w:tcPr/>
          <w:p>
            <w:pPr>
              <w:pStyle w:val="Compact"/>
              <w:jc w:val="left"/>
            </w:pPr>
            <w:r>
              <w:t xml:space="preserve">185,000</w:t>
            </w:r>
          </w:p>
        </w:tc>
        <w:tc>
          <w:tcPr/>
          <w:p>
            <w:pPr>
              <w:pStyle w:val="Compact"/>
              <w:jc w:val="left"/>
            </w:pPr>
            <w:r>
              <w:t xml:space="preserve">3</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Credit Facility Structuring — The Banker designed and negotiated a revolving credit facility of 250 million JPY for Hoshino Trading, including collateral assessment, interest rate hedging recommendations, and covenant structuring tailored to Japan Kyoto market conditions.</w:t>
            </w:r>
          </w:p>
        </w:tc>
        <w:tc>
          <w:tcPr/>
          <w:p>
            <w:pPr>
              <w:pStyle w:val="Compact"/>
              <w:jc w:val="left"/>
            </w:pPr>
            <w:r>
              <w:t xml:space="preserve">Feb 2025 – Apr 2025</w:t>
            </w:r>
          </w:p>
        </w:tc>
        <w:tc>
          <w:tcPr/>
          <w:p>
            <w:pPr>
              <w:pStyle w:val="Compact"/>
              <w:jc w:val="left"/>
            </w:pPr>
            <w:r>
              <w:t xml:space="preserve">320,000</w:t>
            </w:r>
          </w:p>
        </w:tc>
        <w:tc>
          <w:tcPr/>
          <w:p>
            <w:pPr>
              <w:pStyle w:val="Compact"/>
              <w:jc w:val="left"/>
            </w:pPr>
            <w:r>
              <w:t xml:space="preserve">2</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Trade Finance &amp; Letter of Credit Issuance — The Banker facilitated the issuance of 14 letters of credit for international trade transactions, managed documentary collection processes, and ensured compliance with Japan Kyoto customs and foreign exchange regulations.</w:t>
            </w:r>
          </w:p>
        </w:tc>
        <w:tc>
          <w:tcPr/>
          <w:p>
            <w:pPr>
              <w:pStyle w:val="Compact"/>
              <w:jc w:val="left"/>
            </w:pPr>
            <w:r>
              <w:t xml:space="preserve">Mar 2025 – May 2025</w:t>
            </w:r>
          </w:p>
        </w:tc>
        <w:tc>
          <w:tcPr/>
          <w:p>
            <w:pPr>
              <w:pStyle w:val="Compact"/>
              <w:jc w:val="left"/>
            </w:pPr>
            <w:r>
              <w:t xml:space="preserve">95,000</w:t>
            </w:r>
          </w:p>
        </w:tc>
        <w:tc>
          <w:tcPr/>
          <w:p>
            <w:pPr>
              <w:pStyle w:val="Compact"/>
              <w:jc w:val="left"/>
            </w:pPr>
            <w:r>
              <w:t xml:space="preserve">14</w:t>
            </w:r>
          </w:p>
        </w:tc>
        <w:tc>
          <w:tcPr/>
          <w:p>
            <w:pPr>
              <w:pStyle w:val="Compact"/>
              <w:jc w:val="left"/>
            </w:pPr>
            <w:r>
              <w:t xml:space="preserve">1,330,000</w:t>
            </w:r>
          </w:p>
        </w:tc>
      </w:tr>
      <w:tr>
        <w:tc>
          <w:tcPr/>
          <w:p>
            <w:pPr>
              <w:pStyle w:val="Compact"/>
              <w:jc w:val="left"/>
            </w:pPr>
            <w:r>
              <w:t xml:space="preserve">4</w:t>
            </w:r>
          </w:p>
        </w:tc>
        <w:tc>
          <w:tcPr/>
          <w:p>
            <w:pPr>
              <w:pStyle w:val="Compact"/>
              <w:jc w:val="left"/>
            </w:pPr>
            <w:r>
              <w:t xml:space="preserve">Foreign Exchange Risk Management — The Banker conducted quarterly FX exposure analysis for the Japan Kyoto subsidiary, structured forward contracts and currency options to hedge USD/JPY and EUR/JPY positions, and prepared risk mitigation reports for the board of directors.</w:t>
            </w:r>
          </w:p>
        </w:tc>
        <w:tc>
          <w:tcPr/>
          <w:p>
            <w:pPr>
              <w:pStyle w:val="Compact"/>
              <w:jc w:val="left"/>
            </w:pPr>
            <w:r>
              <w:t xml:space="preserve">Apr 2025 – Jun 2025</w:t>
            </w:r>
          </w:p>
        </w:tc>
        <w:tc>
          <w:tcPr/>
          <w:p>
            <w:pPr>
              <w:pStyle w:val="Compact"/>
              <w:jc w:val="left"/>
            </w:pPr>
            <w:r>
              <w:t xml:space="preserve">145,000</w:t>
            </w:r>
          </w:p>
        </w:tc>
        <w:tc>
          <w:tcPr/>
          <w:p>
            <w:pPr>
              <w:pStyle w:val="Compact"/>
              <w:jc w:val="left"/>
            </w:pPr>
            <w:r>
              <w:t xml:space="preserve">4</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Regulatory Compliance &amp; AML Review — The Banker performed a full anti-money laundering compliance audit for the Japan Kyoto branch, updated KYC documentation for 47 corporate clients, and ensured adherence to the Financial Services Agency guidelines effective in fiscal year 2025.</w:t>
            </w:r>
          </w:p>
        </w:tc>
        <w:tc>
          <w:tcPr/>
          <w:p>
            <w:pPr>
              <w:pStyle w:val="Compact"/>
              <w:jc w:val="left"/>
            </w:pPr>
            <w:r>
              <w:t xml:space="preserve">May 2025 – Jun 2025</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Board Presentation &amp; Financial Reporting — The Banker prepared and delivered a comprehensive financial performance presentation to the Hoshino Trading board, covering Japan Kyoto regional banking metrics, portfolio health, and forward-looking capital allocation recommendations.</w:t>
            </w:r>
          </w:p>
        </w:tc>
        <w:tc>
          <w:tcPr/>
          <w:p>
            <w:pPr>
              <w:pStyle w:val="Compact"/>
              <w:jc w:val="left"/>
            </w:pPr>
            <w:r>
              <w:t xml:space="preserve">Jun 2025</w:t>
            </w:r>
          </w:p>
        </w:tc>
        <w:tc>
          <w:tcPr/>
          <w:p>
            <w:pPr>
              <w:pStyle w:val="Compact"/>
              <w:jc w:val="left"/>
            </w:pPr>
            <w:r>
              <w:t xml:space="preserve">175,000</w:t>
            </w:r>
          </w:p>
        </w:tc>
        <w:tc>
          <w:tcPr/>
          <w:p>
            <w:pPr>
              <w:pStyle w:val="Compact"/>
              <w:jc w:val="left"/>
            </w:pPr>
            <w:r>
              <w:t xml:space="preserve">1</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3,490,000 JPY</w:t>
            </w:r>
          </w:p>
        </w:tc>
      </w:tr>
      <w:tr>
        <w:tc>
          <w:tcPr/>
          <w:p>
            <w:pPr>
              <w:pStyle w:val="Compact"/>
              <w:jc w:val="left"/>
            </w:pPr>
            <w:r>
              <w:t xml:space="preserve">Consumption Tax (10%)</w:t>
            </w:r>
          </w:p>
        </w:tc>
        <w:tc>
          <w:tcPr/>
          <w:p>
            <w:pPr>
              <w:pStyle w:val="Compact"/>
              <w:jc w:val="left"/>
            </w:pPr>
            <w:r>
              <w:t xml:space="preserve">349,000 JPY</w:t>
            </w:r>
          </w:p>
        </w:tc>
      </w:tr>
      <w:tr>
        <w:tc>
          <w:tcPr/>
          <w:p>
            <w:pPr>
              <w:pStyle w:val="Compact"/>
              <w:jc w:val="left"/>
            </w:pPr>
            <w:r>
              <w:t xml:space="preserve">Expedited Processing Surcharge</w:t>
            </w:r>
          </w:p>
        </w:tc>
        <w:tc>
          <w:tcPr/>
          <w:p>
            <w:pPr>
              <w:pStyle w:val="Compact"/>
              <w:jc w:val="left"/>
            </w:pPr>
            <w:r>
              <w:t xml:space="preserve">45,000 JPY</w:t>
            </w:r>
          </w:p>
        </w:tc>
      </w:tr>
      <w:tr>
        <w:tc>
          <w:tcPr/>
          <w:p>
            <w:pPr>
              <w:pStyle w:val="Compact"/>
              <w:jc w:val="left"/>
            </w:pPr>
            <w:r>
              <w:t xml:space="preserve">Grand Total Due</w:t>
            </w:r>
          </w:p>
        </w:tc>
        <w:tc>
          <w:tcPr/>
          <w:p>
            <w:pPr>
              <w:pStyle w:val="Compact"/>
              <w:jc w:val="left"/>
            </w:pPr>
            <w:r>
              <w:t xml:space="preserve">3,884,000 JPY</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the undersigned Banker in accordance with the Master Service Agreement dated January 10, 2025, governing all banking advisory services rendered in Japan Kyoto.</w:t>
      </w:r>
    </w:p>
    <w:p>
      <w:pPr>
        <w:numPr>
          <w:ilvl w:val="0"/>
          <w:numId w:val="1001"/>
        </w:numPr>
        <w:pStyle w:val="Compact"/>
      </w:pPr>
      <w:r>
        <w:t xml:space="preserve">Payment of this Invoice is due within thirty (30) calendar days of the Invoice date via bank transfer to the account specified below. Late payments shall accrue interest at 1.5% per month as permitted under Japan Kyoto commercial banking regulations.</w:t>
      </w:r>
    </w:p>
    <w:p>
      <w:pPr>
        <w:numPr>
          <w:ilvl w:val="0"/>
          <w:numId w:val="1001"/>
        </w:numPr>
        <w:pStyle w:val="Compact"/>
      </w:pPr>
      <w:r>
        <w:t xml:space="preserve">All services described in this Invoice were performed by a licensed Banker holding valid credentials from the Japan Securities Dealers Association and the Financial Services Agency. The Banker assumes no liability for market movements or third-party regulatory changes occurring after the service period.</w:t>
      </w:r>
    </w:p>
    <w:p>
      <w:pPr>
        <w:numPr>
          <w:ilvl w:val="0"/>
          <w:numId w:val="1001"/>
        </w:numPr>
        <w:pStyle w:val="Compact"/>
      </w:pPr>
      <w:r>
        <w:t xml:space="preserve">This Invoice constitutes the final and complete billing for all Banker services rendered during the period of January 2025 through June 2025 for the Japan Kyoto office. No additional charges shall apply unless a written amendment to the Master Service Agreement is executed by both parties.</w:t>
      </w:r>
    </w:p>
    <w:p>
      <w:pPr>
        <w:numPr>
          <w:ilvl w:val="0"/>
          <w:numId w:val="1001"/>
        </w:numPr>
        <w:pStyle w:val="Compact"/>
      </w:pPr>
      <w:r>
        <w:t xml:space="preserve">Disputes regarding this Invoice must be submitted in writing within fifteen (15) business days of receipt. The Banker reserves the right to suspend ongoing services if payment is not received by the due date stated above.</w:t>
      </w:r>
    </w:p>
    <w:p>
      <w:pPr>
        <w:numPr>
          <w:ilvl w:val="0"/>
          <w:numId w:val="1001"/>
        </w:numPr>
        <w:pStyle w:val="Compact"/>
      </w:pPr>
      <w:r>
        <w:t xml:space="preserve">Governing law: The laws of Japan, with jurisdiction vested in the Kyoto District Court, Japan Kyoto.</w:t>
      </w:r>
    </w:p>
    <w:bookmarkEnd w:id="24"/>
    <w:bookmarkStart w:id="25" w:name="notes-payment-instructions"/>
    <w:p>
      <w:pPr>
        <w:pStyle w:val="Heading3"/>
      </w:pPr>
      <w:r>
        <w:t xml:space="preserve">Notes &amp; Payment Instructions</w:t>
      </w:r>
    </w:p>
    <w:p>
      <w:pPr>
        <w:pStyle w:val="FirstParagraph"/>
      </w:pPr>
      <w:r>
        <w:rPr>
          <w:bCs/>
          <w:b/>
        </w:rPr>
        <w:t xml:space="preserve">Banker's Note:</w:t>
      </w:r>
      <w:r>
        <w:t xml:space="preserve"> </w:t>
      </w:r>
      <w:r>
        <w:t xml:space="preserve">This Invoice reflects the full scope of professional banking services delivered by the undersigned Banker to Hoshino Trading &amp; Commerce Co., Ltd. for their Japan Kyoto operations. All trade finance instruments referenced herein have been confirmed as active and in good standing as of the Invoice date. The Banker recommends reviewing the FX hedging strategy prior to the next quarterly cycle given current yen volatility in the Japan Kyoto interbank market.</w:t>
      </w:r>
    </w:p>
    <w:p>
      <w:pPr>
        <w:pStyle w:val="BodyText"/>
      </w:pPr>
      <w:r>
        <w:rPr>
          <w:bCs/>
          <w:b/>
        </w:rPr>
        <w:t xml:space="preserve">Payment Method:</w:t>
      </w:r>
      <w:r>
        <w:t xml:space="preserve"> </w:t>
      </w:r>
      <w:r>
        <w:t xml:space="preserve">Bank Transfer (Yen) — Account Name: Kyoto Metropolitan Banking Advisory Group; Bank: Mizuho Bank, Kyoto Central Branch; Account No: 248-105-773; Bank Code: 0009; Branch Code: 248.</w:t>
      </w:r>
    </w:p>
    <w:p>
      <w:pPr>
        <w:pStyle w:val="BodyText"/>
      </w:pPr>
      <w:r>
        <w:rPr>
          <w:bCs/>
          <w:b/>
        </w:rPr>
        <w:t xml:space="preserve">Reference:</w:t>
      </w:r>
      <w:r>
        <w:t xml:space="preserve"> </w:t>
      </w:r>
      <w:r>
        <w:t xml:space="preserve">Please cite Invoice Number KYO-BNK-2025-00472 in all payment communications.</w:t>
      </w:r>
    </w:p>
    <w:bookmarkEnd w:id="25"/>
    <w:p>
      <w:pPr>
        <w:pStyle w:val="BodyText"/>
      </w:pPr>
      <w:r>
        <w:t xml:space="preserve">This Invoice was generated by the Office of the Banker, Kyoto Metropolitan Banking Advisory Group, Japan Kyoto. © 2025 All Rights Reserved.</w:t>
      </w:r>
    </w:p>
    <w:p>
      <w:pPr>
        <w:pStyle w:val="BodyText"/>
      </w:pPr>
      <w:r>
        <w:t xml:space="preserve">Document ID: KYO-BNK-2025-00472 | Page 1 of 1 | Status:</w:t>
      </w:r>
      <w:r>
        <w:t xml:space="preserve"> </w:t>
      </w:r>
      <w:r>
        <w:t xml:space="preserve">PENDING PAYMENT</w:t>
      </w:r>
    </w:p>
    <w:p>
      <w:pPr>
        <w:pStyle w:val="BodyText"/>
      </w:pPr>
      <w:r>
        <w:t xml:space="preserve">For inquiries regarding this Invoice, please contact the Banker directly at +81-75-555-0142 or billing@kyoto-banking-advisory.jp.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Japan Kyoto</dc:title>
  <dc:creator/>
  <dc:language>en</dc:language>
  <cp:keywords/>
  <dcterms:created xsi:type="dcterms:W3CDTF">2026-10-10T05:51:22Z</dcterms:created>
  <dcterms:modified xsi:type="dcterms:W3CDTF">2026-10-10T05:51:22Z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