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0" w:name="arman-k.-serikzhanov-cfa"/>
    <w:p>
      <w:pPr>
        <w:pStyle w:val="Heading1"/>
      </w:pPr>
      <w:r>
        <w:t xml:space="preserve">Arman K. Serikzhanov, CFA</w:t>
      </w:r>
    </w:p>
    <w:p>
      <w:pPr>
        <w:pStyle w:val="FirstParagraph"/>
      </w:pPr>
      <w:r>
        <w:t xml:space="preserve">Senior Banker &amp; Financial Advisor</w:t>
      </w:r>
    </w:p>
    <w:p>
      <w:pPr>
        <w:pStyle w:val="BodyText"/>
      </w:pPr>
      <w:r>
        <w:t xml:space="preserve">Almaty Business Financial Services LLP</w:t>
      </w:r>
    </w:p>
    <w:p>
      <w:pPr>
        <w:pStyle w:val="BodyText"/>
      </w:pPr>
      <w:r>
        <w:t xml:space="preserve">50 Dostyk Avenue, Office 1204, Almaty, 050040, Kazakhstan</w:t>
      </w:r>
    </w:p>
    <w:p>
      <w:pPr>
        <w:pStyle w:val="BodyText"/>
      </w:pPr>
      <w:r>
        <w:t xml:space="preserve">Tel: +7 (727) 312-45-67 | Email: a.serikzhanov@abfs.kz</w:t>
      </w:r>
    </w:p>
    <w:p>
      <w:pPr>
        <w:pStyle w:val="BodyText"/>
      </w:pPr>
      <w:r>
        <w:t xml:space="preserve">BIN: 990845001234 | IIN: 990845001234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ABFS-2025-004782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bookmarkEnd w:id="21"/>
    <w:bookmarkStart w:id="22" w:name="bill-from-banker"/>
    <w:p>
      <w:pPr>
        <w:pStyle w:val="Heading3"/>
      </w:pPr>
      <w:r>
        <w:t xml:space="preserve">Bill From (Banker)</w:t>
      </w:r>
    </w:p>
    <w:p>
      <w:pPr>
        <w:pStyle w:val="FirstParagraph"/>
      </w:pPr>
      <w:r>
        <w:rPr>
          <w:bCs/>
          <w:b/>
        </w:rPr>
        <w:t xml:space="preserve">Arman K. Serikzhanov</w:t>
      </w:r>
    </w:p>
    <w:p>
      <w:pPr>
        <w:pStyle w:val="BodyText"/>
      </w:pPr>
      <w:r>
        <w:t xml:space="preserve">Senior Banker, Corporate &amp; Investment Banking Division</w:t>
      </w:r>
    </w:p>
    <w:p>
      <w:pPr>
        <w:pStyle w:val="BodyText"/>
      </w:pPr>
      <w:r>
        <w:t xml:space="preserve">Almaty Business Financial Services LLP</w:t>
      </w:r>
    </w:p>
    <w:p>
      <w:pPr>
        <w:pStyle w:val="BodyText"/>
      </w:pPr>
      <w:r>
        <w:t xml:space="preserve">50 Dostyk Avenue, Office 1204</w:t>
      </w:r>
    </w:p>
    <w:p>
      <w:pPr>
        <w:pStyle w:val="BodyText"/>
      </w:pPr>
      <w:r>
        <w:t xml:space="preserve">Almaty, 050040, Kazakhstan</w:t>
      </w:r>
    </w:p>
    <w:p>
      <w:pPr>
        <w:pStyle w:val="BodyText"/>
      </w:pPr>
      <w:r>
        <w:t xml:space="preserve">Bank: Jusan Bank, JSC</w:t>
      </w:r>
    </w:p>
    <w:p>
      <w:pPr>
        <w:pStyle w:val="BodyText"/>
      </w:pPr>
      <w:r>
        <w:t xml:space="preserve">IBAN: KZ85 9159 0000 0000 1234 5678</w:t>
      </w:r>
    </w:p>
    <w:p>
      <w:pPr>
        <w:pStyle w:val="BodyText"/>
      </w:pPr>
      <w:r>
        <w:t xml:space="preserve">BIC: JSANKZKA</w:t>
      </w:r>
    </w:p>
    <w:bookmarkEnd w:id="22"/>
    <w:bookmarkStart w:id="23" w:name="bill-to-client"/>
    <w:p>
      <w:pPr>
        <w:pStyle w:val="Heading3"/>
      </w:pPr>
      <w:r>
        <w:t xml:space="preserve">Bill To (Client)</w:t>
      </w:r>
    </w:p>
    <w:p>
      <w:pPr>
        <w:pStyle w:val="FirstParagraph"/>
      </w:pPr>
      <w:r>
        <w:rPr>
          <w:bCs/>
          <w:b/>
        </w:rPr>
        <w:t xml:space="preserve">Tengri Agro Industries LLP</w:t>
      </w:r>
    </w:p>
    <w:p>
      <w:pPr>
        <w:pStyle w:val="BodyText"/>
      </w:pPr>
      <w:r>
        <w:t xml:space="preserve">Attn: Ms. Dina Nurlanova, CFO</w:t>
      </w:r>
    </w:p>
    <w:p>
      <w:pPr>
        <w:pStyle w:val="BodyText"/>
      </w:pPr>
      <w:r>
        <w:t xml:space="preserve">12 Abai Avenue, Building 3, Floor 7</w:t>
      </w:r>
    </w:p>
    <w:p>
      <w:pPr>
        <w:pStyle w:val="BodyText"/>
      </w:pPr>
      <w:r>
        <w:t xml:space="preserve">Almaty, 050000, Kazakhstan</w:t>
      </w:r>
    </w:p>
    <w:p>
      <w:pPr>
        <w:pStyle w:val="BodyText"/>
      </w:pPr>
      <w:r>
        <w:t xml:space="preserve">BIN: 020945009876</w:t>
      </w:r>
    </w:p>
    <w:p>
      <w:pPr>
        <w:pStyle w:val="BodyText"/>
      </w:pPr>
      <w:r>
        <w:t xml:space="preserve">Tax ID: 020945009876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Banking Services</w:t>
            </w:r>
          </w:p>
        </w:tc>
        <w:tc>
          <w:tcPr/>
          <w:p>
            <w:pPr>
              <w:pStyle w:val="Compact"/>
              <w:jc w:val="left"/>
            </w:pPr>
            <w:r>
              <w:t xml:space="preserve">Date Rendered</w:t>
            </w:r>
          </w:p>
        </w:tc>
        <w:tc>
          <w:tcPr/>
          <w:p>
            <w:pPr>
              <w:pStyle w:val="Compact"/>
              <w:jc w:val="left"/>
            </w:pPr>
            <w:r>
              <w:t xml:space="preserve">Rate (KZT)</w:t>
            </w:r>
          </w:p>
        </w:tc>
        <w:tc>
          <w:tcPr/>
          <w:p>
            <w:pPr>
              <w:pStyle w:val="Compact"/>
              <w:jc w:val="left"/>
            </w:pPr>
            <w:r>
              <w:t xml:space="preserve">Qty</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Corporate banking account setup and configuration for Tengri Agro Industries LLP at Jusan Bank, Almaty branch. Includes KYC compliance review, account structuring, and initial deposit facilitation in accordance with National Bank of Kazakhstan regulations.</w:t>
            </w:r>
          </w:p>
        </w:tc>
        <w:tc>
          <w:tcPr/>
          <w:p>
            <w:pPr>
              <w:pStyle w:val="Compact"/>
              <w:jc w:val="left"/>
            </w:pPr>
            <w:r>
              <w:t xml:space="preserve">02 Jun 2025</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Trade finance advisory and letter of credit issuance support for international agricultural exports from Almaty to the European Union. The banker coordinated with correspondent banks and ensured compliance with Kazakhstan customs and foreign exchange control requirements.</w:t>
            </w:r>
          </w:p>
        </w:tc>
        <w:tc>
          <w:tcPr/>
          <w:p>
            <w:pPr>
              <w:pStyle w:val="Compact"/>
              <w:jc w:val="left"/>
            </w:pPr>
            <w:r>
              <w:t xml:space="preserve">05 Jun 2025</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Working capital loan structuring and negotiation with Halyk Bank, Almaty headquarters. The banker prepared the credit proposal, conducted cash-flow modelling, and facilitated the signing of a 12-month revolving credit facility of 45,000,000 KZT.</w:t>
            </w:r>
          </w:p>
        </w:tc>
        <w:tc>
          <w:tcPr/>
          <w:p>
            <w:pPr>
              <w:pStyle w:val="Compact"/>
              <w:jc w:val="left"/>
            </w:pPr>
            <w:r>
              <w:t xml:space="preserve">08 Jun 2025</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Currency hedging strategy design and execution. The banker structured a forward exchange contract portfolio to protect the client's USD-denominated receivables against KZT volatility, executed through the Kazakhstan Stock Exchange (KASE) interbank market in Almaty.</w:t>
            </w:r>
          </w:p>
        </w:tc>
        <w:tc>
          <w:tcPr/>
          <w:p>
            <w:pPr>
              <w:pStyle w:val="Compact"/>
              <w:jc w:val="left"/>
            </w:pPr>
            <w:r>
              <w:t xml:space="preserve">10 Jun 2025</w:t>
            </w:r>
          </w:p>
        </w:tc>
        <w:tc>
          <w:tcPr/>
          <w:p>
            <w:pPr>
              <w:pStyle w:val="Compact"/>
              <w:jc w:val="left"/>
            </w:pPr>
            <w:r>
              <w:t xml:space="preserve">275,000</w:t>
            </w:r>
          </w:p>
        </w:tc>
        <w:tc>
          <w:tcPr/>
          <w:p>
            <w:pPr>
              <w:pStyle w:val="Compact"/>
              <w:jc w:val="left"/>
            </w:pPr>
            <w:r>
              <w:t xml:space="preserve">1</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Monthly banking compliance and regulatory reporting. The banker prepared and submitted mandatory reports to the National Bank of Kazakhstan, including anti-money laundering declarations, foreign currency transaction notifications, and corporate tax withholding documentation for the month of May 2025.</w:t>
            </w:r>
          </w:p>
        </w:tc>
        <w:tc>
          <w:tcPr/>
          <w:p>
            <w:pPr>
              <w:pStyle w:val="Compact"/>
              <w:jc w:val="left"/>
            </w:pPr>
            <w:r>
              <w:t xml:space="preserve">12 Jun 2025</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On-site banking operations audit at the client's Almaty warehouse facility. The banker reviewed cash-handling procedures, verified bank reconciliation statements, assessed internal controls over financial transactions, and issued a corrective action report.</w:t>
            </w:r>
          </w:p>
        </w:tc>
        <w:tc>
          <w:tcPr/>
          <w:p>
            <w:pPr>
              <w:pStyle w:val="Compact"/>
              <w:jc w:val="left"/>
            </w:pPr>
            <w:r>
              <w:t xml:space="preserve">13 Jun 2025</w:t>
            </w:r>
          </w:p>
        </w:tc>
        <w:tc>
          <w:tcPr/>
          <w:p>
            <w:pPr>
              <w:pStyle w:val="Compact"/>
              <w:jc w:val="left"/>
            </w:pPr>
            <w:r>
              <w:t xml:space="preserve">95,000</w:t>
            </w:r>
          </w:p>
        </w:tc>
        <w:tc>
          <w:tcPr/>
          <w:p>
            <w:pPr>
              <w:pStyle w:val="Compact"/>
              <w:jc w:val="left"/>
            </w:pPr>
            <w:r>
              <w:t xml:space="preserve">2</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Investment banking consultation for a proposed equity financing round. The banker provided strategic guidance on valuation methodology, investor due diligence preparation, and term sheet negotiation for a Series B funding round targeting Kazakhstan's domestic institutional investors.</w:t>
            </w:r>
          </w:p>
        </w:tc>
        <w:tc>
          <w:tcPr/>
          <w:p>
            <w:pPr>
              <w:pStyle w:val="Compact"/>
              <w:jc w:val="left"/>
            </w:pPr>
            <w:r>
              <w:t xml:space="preserve">14 Jun 2025</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bl>
    <w:p>
      <w:pPr>
        <w:pStyle w:val="BodyText"/>
      </w:pPr>
      <w:r>
        <w:t xml:space="preserve">Subtotal:</w:t>
      </w:r>
      <w:r>
        <w:t xml:space="preserve">1,820,000.00 KZT</w:t>
      </w:r>
    </w:p>
    <w:p>
      <w:pPr>
        <w:pStyle w:val="BodyText"/>
      </w:pPr>
      <w:r>
        <w:t xml:space="preserve">VAT (12% per Kazakhstan tax code):</w:t>
      </w:r>
      <w:r>
        <w:t xml:space="preserve">218,400.00 KZT</w:t>
      </w:r>
    </w:p>
    <w:p>
      <w:pPr>
        <w:pStyle w:val="BodyText"/>
      </w:pPr>
      <w:r>
        <w:t xml:space="preserve">Bank transfer fee (Jusan Bank, Almaty):</w:t>
      </w:r>
      <w:r>
        <w:t xml:space="preserve">3,500.00 KZT</w:t>
      </w:r>
    </w:p>
    <w:p>
      <w:pPr>
        <w:pStyle w:val="BodyText"/>
      </w:pPr>
      <w:r>
        <w:t xml:space="preserve">TOTAL AMOUNT DUE:</w:t>
      </w:r>
      <w:r>
        <w:t xml:space="preserve">2,041,900.00 KZT</w:t>
      </w:r>
    </w:p>
    <w:p>
      <w:pPr>
        <w:pStyle w:val="BodyText"/>
      </w:pPr>
      <w:r>
        <w:t xml:space="preserve">Amount in words: Two million forty-one thousand nine hundred ten tenge only.</w:t>
      </w:r>
    </w:p>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no later than 30 June 2025. Payment shall be made via bank wire transfer to the following account maintained at Jusan Bank, JSC, Almaty, Kazakhstan:</w:t>
      </w:r>
    </w:p>
    <w:p>
      <w:pPr>
        <w:numPr>
          <w:ilvl w:val="0"/>
          <w:numId w:val="1001"/>
        </w:numPr>
        <w:pStyle w:val="Compact"/>
      </w:pPr>
      <w:r>
        <w:rPr>
          <w:bCs/>
          <w:b/>
        </w:rPr>
        <w:t xml:space="preserve">Beneficiary:</w:t>
      </w:r>
      <w:r>
        <w:t xml:space="preserve"> </w:t>
      </w:r>
      <w:r>
        <w:t xml:space="preserve">Almaty Business Financial Services LLP</w:t>
      </w:r>
    </w:p>
    <w:p>
      <w:pPr>
        <w:numPr>
          <w:ilvl w:val="0"/>
          <w:numId w:val="1001"/>
        </w:numPr>
        <w:pStyle w:val="Compact"/>
      </w:pPr>
      <w:r>
        <w:rPr>
          <w:bCs/>
          <w:b/>
        </w:rPr>
        <w:t xml:space="preserve">IBAN:</w:t>
      </w:r>
      <w:r>
        <w:t xml:space="preserve"> </w:t>
      </w:r>
      <w:r>
        <w:t xml:space="preserve">KZ85 9159 0000 0000 1234 5678</w:t>
      </w:r>
    </w:p>
    <w:p>
      <w:pPr>
        <w:numPr>
          <w:ilvl w:val="0"/>
          <w:numId w:val="1001"/>
        </w:numPr>
        <w:pStyle w:val="Compact"/>
      </w:pPr>
      <w:r>
        <w:rPr>
          <w:bCs/>
          <w:b/>
        </w:rPr>
        <w:t xml:space="preserve">BIC/SWIFT:</w:t>
      </w:r>
      <w:r>
        <w:t xml:space="preserve"> </w:t>
      </w:r>
      <w:r>
        <w:t xml:space="preserve">JSANKZKA</w:t>
      </w:r>
    </w:p>
    <w:p>
      <w:pPr>
        <w:numPr>
          <w:ilvl w:val="0"/>
          <w:numId w:val="1001"/>
        </w:numPr>
        <w:pStyle w:val="Compact"/>
      </w:pPr>
      <w:r>
        <w:rPr>
          <w:bCs/>
          <w:b/>
        </w:rPr>
        <w:t xml:space="preserve">Bank Address:</w:t>
      </w:r>
      <w:r>
        <w:t xml:space="preserve"> </w:t>
      </w:r>
      <w:r>
        <w:t xml:space="preserve">28 Abai Avenue, Almaty, 050000, Kazakhstan</w:t>
      </w:r>
    </w:p>
    <w:p>
      <w:pPr>
        <w:numPr>
          <w:ilvl w:val="0"/>
          <w:numId w:val="1001"/>
        </w:numPr>
        <w:pStyle w:val="Compact"/>
      </w:pPr>
      <w:r>
        <w:rPr>
          <w:bCs/>
          <w:b/>
        </w:rPr>
        <w:t xml:space="preserve">Reference:</w:t>
      </w:r>
      <w:r>
        <w:t xml:space="preserve"> </w:t>
      </w:r>
      <w:r>
        <w:t xml:space="preserve">ABFS-2025-004782</w:t>
      </w:r>
    </w:p>
    <w:p>
      <w:pPr>
        <w:pStyle w:val="FirstParagraph"/>
      </w:pPr>
      <w:r>
        <w:t xml:space="preserve">All payments are to be made in Kazakhstani Tenge (KZT). In the event of late payment, a penalty of 0.1% per calendar day on the outstanding balance shall apply, in accordance with the Civil Code of the Republic of Kazakhstan and the terms of the Master Banking Services Agreement dated 01 January 2025.</w:t>
      </w:r>
    </w:p>
    <w:bookmarkEnd w:id="24"/>
    <w:bookmarkStart w:id="25" w:name="notes-additional-information"/>
    <w:p>
      <w:pPr>
        <w:pStyle w:val="Heading3"/>
      </w:pPr>
      <w:r>
        <w:t xml:space="preserve">Notes &amp; Additional Information</w:t>
      </w:r>
    </w:p>
    <w:p>
      <w:pPr>
        <w:pStyle w:val="FirstParagraph"/>
      </w:pPr>
      <w:r>
        <w:t xml:space="preserve">This invoice is issued by Arman K. Serikzhanov, a licensed banker registered with the Financial Services and Stability Committee of the Republic of Kazakhstan (License No. BK-2019-004521). All banking services described herein were rendered in Almaty, the capital city of Kazakhstan, and are subject to the regulatory oversight of the National Bank of Kazakhstan.</w:t>
      </w:r>
    </w:p>
    <w:p>
      <w:pPr>
        <w:pStyle w:val="BodyText"/>
      </w:pPr>
      <w:r>
        <w:t xml:space="preserve">The client acknowledges that the banker has fulfilled all obligations under the Master Banking Services Agreement. This invoice constitutes the final and complete statement of charges for the services rendered during the period of 01 June 2025 through 14 June 2025. No additional fees or charges shall be levied for the services itemized above unless expressly agreed in writing by both parties.</w:t>
      </w:r>
    </w:p>
    <w:p>
      <w:pPr>
        <w:pStyle w:val="BodyText"/>
      </w:pPr>
      <w:r>
        <w:t xml:space="preserve">Should the client require any clarification regarding the line items, the banker is available for consultation at the Almaty Business Financial Services LLP office, 50 Dostyk Avenue, Almaty, Kazakhstan, or via the contact details provided in the header of this invoice. All disputes arising from this invoice shall be resolved in accordance with the arbitration clause of the governing agreement, with proceedings conducted in Almaty, Kazakhstan.</w:t>
      </w:r>
    </w:p>
    <w:p>
      <w:pPr>
        <w:pStyle w:val="BodyText"/>
      </w:pPr>
      <w:r>
        <w:t xml:space="preserve">This document is a valid invoice for accounting and tax purposes in the Republic of Kazakhstan and may be used for VAT deduction in accordance with the Tax Code of the Republic of Kazakhstan.</w:t>
      </w:r>
    </w:p>
    <w:bookmarkEnd w:id="25"/>
    <w:p>
      <w:pPr>
        <w:pStyle w:val="BodyText"/>
      </w:pPr>
      <w:r>
        <w:t xml:space="preserve">Invoice ABFS-2025-004782 | Issued by Arman K. Serikzhanov, Senior Banker | Almaty Business Financial Services LLP | Almaty, Kazakhstan</w:t>
      </w:r>
    </w:p>
    <w:p>
      <w:pPr>
        <w:pStyle w:val="BodyText"/>
      </w:pPr>
      <w:r>
        <w:t xml:space="preserve">This invoice was generated electronically and is valid without a physical signature. For verification, contact the issuing banker at a.serikzhanov@abfs.kz or +7 (727) 312-45-67.</w:t>
      </w:r>
    </w:p>
    <w:p>
      <w:pPr>
        <w:pStyle w:val="BodyText"/>
      </w:pPr>
      <w:r>
        <w:t xml:space="preserve">© 2025 Almaty Business Financial Services LLP. All rights reserved. Registered in Almaty, Kazakhstan. BIN: 990845001234.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Almaty, Kazakhstan</dc:title>
  <dc:creator/>
  <dc:language>en</dc:language>
  <cp:keywords/>
  <dcterms:created xsi:type="dcterms:W3CDTF">2026-10-10T07:02:57Z</dcterms:created>
  <dcterms:modified xsi:type="dcterms:W3CDTF">2026-10-10T07:02:57Z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