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savannah-capital-bankers-ltd."/>
    <w:p>
      <w:pPr>
        <w:pStyle w:val="Heading1"/>
      </w:pPr>
      <w:r>
        <w:t xml:space="preserve">Savannah Capital Bankers Ltd.</w:t>
      </w:r>
    </w:p>
    <w:p>
      <w:pPr>
        <w:pStyle w:val="FirstParagraph"/>
      </w:pPr>
      <w:r>
        <w:t xml:space="preserve">Licensed Banker &amp; Financial Advisory Firm</w:t>
      </w:r>
    </w:p>
    <w:p>
      <w:pPr>
        <w:pStyle w:val="BodyText"/>
      </w:pPr>
      <w:r>
        <w:t xml:space="preserve">Westlands Business Park, 4th Floor, Suite 412</w:t>
      </w:r>
    </w:p>
    <w:p>
      <w:pPr>
        <w:pStyle w:val="BodyText"/>
      </w:pPr>
      <w:r>
        <w:t xml:space="preserve">Waiyaki Way, Kenya Nairobi, P.O. Box 12345-00100</w:t>
      </w:r>
    </w:p>
    <w:p>
      <w:pPr>
        <w:pStyle w:val="BodyText"/>
      </w:pPr>
      <w:r>
        <w:t xml:space="preserve">Tel: +254 (0) 722 456 789 | Email: billing@savannahbankers.co.ke</w:t>
      </w:r>
    </w:p>
    <w:p>
      <w:pPr>
        <w:pStyle w:val="BodyText"/>
      </w:pPr>
      <w:r>
        <w:t xml:space="preserve">KRA PIN: P051234567X | CRB No: 00123456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SCB-2025-00847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Kenya Nairobi</w:t>
      </w:r>
    </w:p>
    <w:bookmarkEnd w:id="21"/>
    <w:bookmarkStart w:id="22" w:name="bill-to"/>
    <w:p>
      <w:pPr>
        <w:pStyle w:val="Heading3"/>
      </w:pPr>
      <w:r>
        <w:t xml:space="preserve">Bill To</w:t>
      </w:r>
    </w:p>
    <w:p>
      <w:pPr>
        <w:pStyle w:val="FirstParagraph"/>
      </w:pPr>
      <w:r>
        <w:rPr>
          <w:bCs/>
          <w:b/>
        </w:rPr>
        <w:t xml:space="preserve">Acacia Trade &amp; Logistics Co. Ltd.</w:t>
      </w:r>
    </w:p>
    <w:p>
      <w:pPr>
        <w:pStyle w:val="BodyText"/>
      </w:pPr>
      <w:r>
        <w:t xml:space="preserve">Attn: Mr. David Mwangi, Chief Financial Officer</w:t>
      </w:r>
    </w:p>
    <w:p>
      <w:pPr>
        <w:pStyle w:val="BodyText"/>
      </w:pPr>
      <w:r>
        <w:t xml:space="preserve">Upper Hill Business District, 2nd Floor</w:t>
      </w:r>
    </w:p>
    <w:p>
      <w:pPr>
        <w:pStyle w:val="BodyText"/>
      </w:pPr>
      <w:r>
        <w:t xml:space="preserve">Kenya Nairobi, P.O. Box 67890-00100</w:t>
      </w:r>
    </w:p>
    <w:p>
      <w:pPr>
        <w:pStyle w:val="BodyText"/>
      </w:pPr>
      <w:r>
        <w:t xml:space="preserve">Tel: +254 (0) 733 112 233</w:t>
      </w:r>
    </w:p>
    <w:p>
      <w:pPr>
        <w:pStyle w:val="BodyText"/>
      </w:pPr>
      <w:r>
        <w:t xml:space="preserve">Email: d.mwangi@aciatradelogistics.co.ke</w:t>
      </w:r>
    </w:p>
    <w:p>
      <w:pPr>
        <w:pStyle w:val="BodyText"/>
      </w:pPr>
      <w:r>
        <w:t xml:space="preserve">KRA PIN: P098765432Z</w:t>
      </w:r>
    </w:p>
    <w:bookmarkEnd w:id="22"/>
    <w:bookmarkStart w:id="23" w:name="banker-details"/>
    <w:p>
      <w:pPr>
        <w:pStyle w:val="Heading3"/>
      </w:pPr>
      <w:r>
        <w:t xml:space="preserve">Banker Details</w:t>
      </w:r>
    </w:p>
    <w:p>
      <w:pPr>
        <w:pStyle w:val="FirstParagraph"/>
      </w:pPr>
      <w:r>
        <w:rPr>
          <w:bCs/>
          <w:b/>
        </w:rPr>
        <w:t xml:space="preserve">Lead Banker:</w:t>
      </w:r>
      <w:r>
        <w:t xml:space="preserve"> </w:t>
      </w:r>
      <w:r>
        <w:t xml:space="preserve">Ms. Grace Wanjiru Kamau</w:t>
      </w:r>
    </w:p>
    <w:p>
      <w:pPr>
        <w:pStyle w:val="BodyText"/>
      </w:pPr>
      <w:r>
        <w:t xml:space="preserve">Senior Banker &amp; Portfolio Manager</w:t>
      </w:r>
    </w:p>
    <w:p>
      <w:pPr>
        <w:pStyle w:val="BodyText"/>
      </w:pPr>
      <w:r>
        <w:t xml:space="preserve">Professional Banker, Licensed by CBK</w:t>
      </w:r>
    </w:p>
    <w:p>
      <w:pPr>
        <w:pStyle w:val="BodyText"/>
      </w:pPr>
      <w:r>
        <w:t xml:space="preserve">Banker License No: CBK-BLK-2019-004521</w:t>
      </w:r>
    </w:p>
    <w:p>
      <w:pPr>
        <w:pStyle w:val="BodyText"/>
      </w:pPr>
      <w:r>
        <w:t xml:space="preserve">Member, Kenya Bankers Association</w:t>
      </w:r>
    </w:p>
    <w:p>
      <w:pPr>
        <w:pStyle w:val="BodyText"/>
      </w:pPr>
      <w:r>
        <w:t xml:space="preserve">Office: Kenya Nairobi, Westlands</w:t>
      </w:r>
    </w:p>
    <w:p>
      <w:pPr>
        <w:pStyle w:val="BodyText"/>
      </w:pPr>
      <w:r>
        <w:t xml:space="preserve">Direct: +254 (0) 722 456 789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Banking Services Rendered</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Comprehensive corporate banking advisory and structured trade finance facilitation for import-export operations. The Banker provided end-to-end guidance on letters of credit, documentary collections, and export financing arrangements compliant with Central Bank of Kenya regulations.</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Portfolio restructuring and treasury management services. The Banker conducted a full review of the client's cash flow cycles, optimized working capital allocation, and implemented automated sweep accounts to maximize interest yield on idle corporate funds in Kenya Nairobi operations.</w:t>
            </w:r>
          </w:p>
        </w:tc>
        <w:tc>
          <w:tcPr/>
          <w:p>
            <w:pPr>
              <w:pStyle w:val="Compact"/>
              <w:jc w:val="left"/>
            </w:pPr>
            <w:r>
              <w:t xml:space="preserve">Feb – Apr 2025</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Foreign exchange risk management and hedging strategy design. The Banker structured forward contracts and currency options to protect the client against USD/KES and EUR/KES volatility, ensuring stable procurement costs for raw materials sourced from international suppliers.</w:t>
            </w:r>
          </w:p>
        </w:tc>
        <w:tc>
          <w:tcPr/>
          <w:p>
            <w:pPr>
              <w:pStyle w:val="Compact"/>
              <w:jc w:val="left"/>
            </w:pPr>
            <w:r>
              <w:t xml:space="preserve">Mar – May 2025</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04</w:t>
            </w:r>
          </w:p>
        </w:tc>
        <w:tc>
          <w:tcPr/>
          <w:p>
            <w:pPr>
              <w:pStyle w:val="Compact"/>
              <w:jc w:val="left"/>
            </w:pPr>
            <w:r>
              <w:t xml:space="preserve">Regulatory compliance audit and AML/CFT reporting support. The Banker prepared and submitted all mandatory filings to the Financial Reporting Council and the Central Bank of Kenya, ensuring the client's banking relationships in Kenya Nairobi remained fully compliant with the Banking Act, 2016.</w:t>
            </w:r>
          </w:p>
        </w:tc>
        <w:tc>
          <w:tcPr/>
          <w:p>
            <w:pPr>
              <w:pStyle w:val="Compact"/>
              <w:jc w:val="left"/>
            </w:pPr>
            <w:r>
              <w:t xml:space="preserve">Apr –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On-site financial due diligence and creditworthiness assessment for a proposed expansion facility. The Banker visited the client's warehouse and distribution centres in Kenya Nairobi, evaluated collateral adequacy, and produced a detailed credit memo for the lending committee.</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06</w:t>
            </w:r>
          </w:p>
        </w:tc>
        <w:tc>
          <w:tcPr/>
          <w:p>
            <w:pPr>
              <w:pStyle w:val="Compact"/>
              <w:jc w:val="left"/>
            </w:pPr>
            <w:r>
              <w:t xml:space="preserve">Quarterly banking relationship review and strategic planning session. The Banker presented a forward-looking financial roadmap, including projected liquidity needs, capital adequacy considerations, and recommended banking product upgrades for the upcoming fiscal year.</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970,000.00</w:t>
            </w:r>
          </w:p>
        </w:tc>
      </w:tr>
      <w:tr>
        <w:tc>
          <w:tcPr/>
          <w:p>
            <w:pPr>
              <w:pStyle w:val="Compact"/>
              <w:jc w:val="left"/>
            </w:pPr>
            <w:r>
              <w:t xml:space="preserve">VAT @ 16% (Kenya Revenue Authority)</w:t>
            </w:r>
          </w:p>
        </w:tc>
        <w:tc>
          <w:tcPr/>
          <w:p>
            <w:pPr>
              <w:pStyle w:val="Compact"/>
              <w:jc w:val="left"/>
            </w:pPr>
            <w:r>
              <w:t xml:space="preserve">KES 155,200.00</w:t>
            </w:r>
          </w:p>
        </w:tc>
      </w:tr>
      <w:tr>
        <w:tc>
          <w:tcPr/>
          <w:p>
            <w:pPr>
              <w:pStyle w:val="Compact"/>
              <w:jc w:val="left"/>
            </w:pPr>
            <w:r>
              <w:t xml:space="preserve">Withholding Tax @ 5% (as applicable)</w:t>
            </w:r>
          </w:p>
        </w:tc>
        <w:tc>
          <w:tcPr/>
          <w:p>
            <w:pPr>
              <w:pStyle w:val="Compact"/>
              <w:jc w:val="left"/>
            </w:pPr>
            <w:r>
              <w:t xml:space="preserve">KES (48,500.00)</w:t>
            </w:r>
          </w:p>
        </w:tc>
      </w:tr>
      <w:tr>
        <w:tc>
          <w:tcPr/>
          <w:p>
            <w:pPr>
              <w:pStyle w:val="Compact"/>
              <w:jc w:val="left"/>
            </w:pPr>
            <w:r>
              <w:t xml:space="preserve">GRAND TOTAL DUE</w:t>
            </w:r>
          </w:p>
        </w:tc>
        <w:tc>
          <w:tcPr/>
          <w:p>
            <w:pPr>
              <w:pStyle w:val="Compact"/>
              <w:jc w:val="left"/>
            </w:pPr>
            <w:r>
              <w:t xml:space="preserve">KES 1,076,700.00</w:t>
            </w:r>
          </w:p>
        </w:tc>
      </w:tr>
    </w:tbl>
    <w:bookmarkStart w:id="24" w:name="payment-instructions-notes"/>
    <w:p>
      <w:pPr>
        <w:pStyle w:val="Heading3"/>
      </w:pPr>
      <w:r>
        <w:t xml:space="preserve">Payment Instructions &amp; Notes</w:t>
      </w:r>
    </w:p>
    <w:p>
      <w:pPr>
        <w:pStyle w:val="FirstParagraph"/>
      </w:pPr>
      <w:r>
        <w:rPr>
          <w:bCs/>
          <w:b/>
        </w:rPr>
        <w:t xml:space="preserve">Bank:</w:t>
      </w:r>
      <w:r>
        <w:t xml:space="preserve"> </w:t>
      </w:r>
      <w:r>
        <w:t xml:space="preserve">Savannah Capital Bank, Kenya Nairobi Main Branch</w:t>
      </w:r>
    </w:p>
    <w:p>
      <w:pPr>
        <w:pStyle w:val="BodyText"/>
      </w:pPr>
      <w:r>
        <w:rPr>
          <w:bCs/>
          <w:b/>
        </w:rPr>
        <w:t xml:space="preserve">Account Name:</w:t>
      </w:r>
      <w:r>
        <w:t xml:space="preserve"> </w:t>
      </w:r>
      <w:r>
        <w:t xml:space="preserve">Savannah Capital Bankers Ltd. – Receivables</w:t>
      </w:r>
    </w:p>
    <w:p>
      <w:pPr>
        <w:pStyle w:val="BodyText"/>
      </w:pPr>
      <w:r>
        <w:rPr>
          <w:bCs/>
          <w:b/>
        </w:rPr>
        <w:t xml:space="preserve">Account Number:</w:t>
      </w:r>
      <w:r>
        <w:t xml:space="preserve"> </w:t>
      </w:r>
      <w:r>
        <w:t xml:space="preserve">1045 8821 3377</w:t>
      </w:r>
    </w:p>
    <w:p>
      <w:pPr>
        <w:pStyle w:val="BodyText"/>
      </w:pPr>
      <w:r>
        <w:rPr>
          <w:bCs/>
          <w:b/>
        </w:rPr>
        <w:t xml:space="preserve">Branch Code:</w:t>
      </w:r>
      <w:r>
        <w:t xml:space="preserve"> </w:t>
      </w:r>
      <w:r>
        <w:t xml:space="preserve">010-001 |</w:t>
      </w:r>
      <w:r>
        <w:t xml:space="preserve"> </w:t>
      </w:r>
      <w:r>
        <w:rPr>
          <w:bCs/>
          <w:b/>
        </w:rPr>
        <w:t xml:space="preserve">Sort Code:</w:t>
      </w:r>
      <w:r>
        <w:t xml:space="preserve"> </w:t>
      </w:r>
      <w:r>
        <w:t xml:space="preserve">010001</w:t>
      </w:r>
    </w:p>
    <w:p>
      <w:pPr>
        <w:pStyle w:val="BodyText"/>
      </w:pPr>
      <w:r>
        <w:rPr>
          <w:bCs/>
          <w:b/>
        </w:rPr>
        <w:t xml:space="preserve">Reference:</w:t>
      </w:r>
      <w:r>
        <w:t xml:space="preserve"> </w:t>
      </w:r>
      <w:r>
        <w:t xml:space="preserve">Please quote Invoice No. SCB-2025-00847 in all payment communications.</w:t>
      </w:r>
    </w:p>
    <w:p>
      <w:pPr>
        <w:pStyle w:val="BodyText"/>
      </w:pPr>
      <w:r>
        <w:t xml:space="preserve">This Invoice is issued in accordance with the Banking Act, 2016 (Cap 488) and the regulations of the Central Bank of Kenya. All services rendered by the Banker are subject to the Master Banking Services Agreement dated 12 January 2025 between the parties. Payment is due within fifteen (15) calendar days from the date of this Invoice. Late payments shall attract interest at the Central Bank of Kenya's reference rate plus two percent per annum.</w:t>
      </w:r>
    </w:p>
    <w:bookmarkEnd w:id="24"/>
    <w:bookmarkStart w:id="25" w:name="terms-conditions"/>
    <w:p>
      <w:pPr>
        <w:pStyle w:val="Heading3"/>
      </w:pPr>
      <w:r>
        <w:t xml:space="preserve">Terms &amp; Conditions</w:t>
      </w:r>
    </w:p>
    <w:p>
      <w:pPr>
        <w:pStyle w:val="FirstParagraph"/>
      </w:pPr>
      <w:r>
        <w:t xml:space="preserve">1. This Invoice constitutes a formal request for payment for professional banking services rendered by the undersigned Banker and their firm in Kenya Nairobi. All charges are in Kenyan Shillings (KES) unless otherwise stated.</w:t>
      </w:r>
    </w:p>
    <w:p>
      <w:pPr>
        <w:pStyle w:val="BodyText"/>
      </w:pPr>
      <w:r>
        <w:t xml:space="preserve">2. The Banker warrants that all advisory services, compliance filings, and financial structuring activities were performed in full compliance with the standards set by the Central Bank of Kenya, the Kenya Bankers Association, and applicable international banking norms.</w:t>
      </w:r>
    </w:p>
    <w:p>
      <w:pPr>
        <w:pStyle w:val="BodyText"/>
      </w:pPr>
      <w:r>
        <w:t xml:space="preserve">3. Any disputes arising from this Invoice shall be resolved through arbitration in Kenya Nairobi in accordance with the Arbitration Act, 1995 (Cap 49), and the prevailing laws of the Republic of Kenya.</w:t>
      </w:r>
    </w:p>
    <w:p>
      <w:pPr>
        <w:pStyle w:val="BodyText"/>
      </w:pPr>
      <w:r>
        <w:t xml:space="preserve">4. This Invoice is valid for ninety (90) days from the date of issue. After this period, the Banker reserves the right to reissue the Invoice with updated tax calculations and applicable surcharges.</w:t>
      </w:r>
    </w:p>
    <w:p>
      <w:pPr>
        <w:pStyle w:val="BodyText"/>
      </w:pPr>
      <w:r>
        <w:t xml:space="preserve">5. All confidential information exchanged during the course of the banking relationship is protected under the Data Protection Act, 2019 of Kenya and the professional secrecy obligations binding on every licensed Banker in Kenya Nairobi.</w:t>
      </w:r>
    </w:p>
    <w:bookmarkEnd w:id="25"/>
    <w:p>
      <w:pPr>
        <w:pStyle w:val="BodyText"/>
      </w:pPr>
      <w:r>
        <w:rPr>
          <w:bCs/>
          <w:b/>
        </w:rPr>
        <w:t xml:space="preserve">Savannah Capital Bankers Ltd.</w:t>
      </w:r>
      <w:r>
        <w:t xml:space="preserve"> </w:t>
      </w:r>
      <w:r>
        <w:t xml:space="preserve">| Licensed Banker &amp; Financial Services Provider | Kenya Nairobi</w:t>
      </w:r>
    </w:p>
    <w:p>
      <w:pPr>
        <w:pStyle w:val="BodyText"/>
      </w:pPr>
      <w:r>
        <w:t xml:space="preserve">Registered with the Central Bank of Kenya | Member, Kenya Bankers Association | KRA PIN: P051234567X</w:t>
      </w:r>
    </w:p>
    <w:p>
      <w:pPr>
        <w:pStyle w:val="BodyText"/>
      </w:pPr>
      <w:r>
        <w:t xml:space="preserve">This is a computer-generated Invoice and does not require a physical signature. For verification, contact billing@savannahbankers.co.ke or call +254 (0) 722 456 789.</w:t>
      </w:r>
    </w:p>
    <w:p>
      <w:pPr>
        <w:pStyle w:val="BodyText"/>
      </w:pPr>
      <w:r>
        <w:t xml:space="preserve">© 2025 Savannah Capital Bankers Ltd. All rights reserved. | Invoice SCB-2025-00847 |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Kenya Nairobi</dc:title>
  <dc:creator/>
  <dc:language>en</dc:language>
  <cp:keywords/>
  <dcterms:created xsi:type="dcterms:W3CDTF">2026-10-10T08:37:47Z</dcterms:created>
  <dcterms:modified xsi:type="dcterms:W3CDTF">2026-10-10T08:37:47Z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