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invoice"/>
    <w:p>
      <w:pPr>
        <w:pStyle w:val="Heading1"/>
      </w:pPr>
      <w:r>
        <w:t xml:space="preserve">INVOICE</w:t>
      </w:r>
    </w:p>
    <w:p>
      <w:pPr>
        <w:pStyle w:val="FirstParagraph"/>
      </w:pPr>
      <w:r>
        <w:t xml:space="preserve">Professional Banker Services — Kuwait Kuwait City</w:t>
      </w:r>
    </w:p>
    <w:p>
      <w:pPr>
        <w:pStyle w:val="BodyText"/>
      </w:pPr>
      <w:r>
        <w:t xml:space="preserve">INVOICE NO. KWT-2025-04871</w:t>
      </w:r>
    </w:p>
    <w:bookmarkEnd w:id="20"/>
    <w:bookmarkStart w:id="21" w:name="issued-by-banker"/>
    <w:p>
      <w:pPr>
        <w:pStyle w:val="Heading3"/>
      </w:pPr>
      <w:r>
        <w:t xml:space="preserve">Issued By (Banker)</w:t>
      </w:r>
    </w:p>
    <w:p>
      <w:pPr>
        <w:pStyle w:val="FirstParagraph"/>
      </w:pPr>
      <w:r>
        <w:rPr>
          <w:bCs/>
          <w:b/>
        </w:rPr>
        <w:t xml:space="preserve">Al-Nakheel Financial Advisory Group</w:t>
      </w:r>
    </w:p>
    <w:p>
      <w:pPr>
        <w:pStyle w:val="BodyText"/>
      </w:pPr>
      <w:r>
        <w:t xml:space="preserve">Attn: Mr. Faisal Al-Rashidi, Senior Banker</w:t>
      </w:r>
    </w:p>
    <w:p>
      <w:pPr>
        <w:pStyle w:val="BodyText"/>
      </w:pPr>
      <w:r>
        <w:t xml:space="preserve">Office 12, 4th Floor, Kuwait Towers</w:t>
      </w:r>
    </w:p>
    <w:p>
      <w:pPr>
        <w:pStyle w:val="BodyText"/>
      </w:pPr>
      <w:r>
        <w:t xml:space="preserve">Salmiya, Kuwait Kuwait City</w:t>
      </w:r>
    </w:p>
    <w:p>
      <w:pPr>
        <w:pStyle w:val="BodyText"/>
      </w:pPr>
      <w:r>
        <w:t xml:space="preserve">P.O. Box 4521, Safat 13001</w:t>
      </w:r>
    </w:p>
    <w:p>
      <w:pPr>
        <w:pStyle w:val="BodyText"/>
      </w:pPr>
      <w:r>
        <w:t xml:space="preserve">Tel: +965 2244 8890</w:t>
      </w:r>
    </w:p>
    <w:p>
      <w:pPr>
        <w:pStyle w:val="BodyText"/>
      </w:pPr>
      <w:r>
        <w:t xml:space="preserve">Email: f.alrashidi@alnakheel-fin.com</w:t>
      </w:r>
    </w:p>
    <w:p>
      <w:pPr>
        <w:pStyle w:val="BodyText"/>
      </w:pPr>
      <w:r>
        <w:t xml:space="preserve">Commercial Registration: 118742-KWT</w:t>
      </w:r>
    </w:p>
    <w:bookmarkEnd w:id="21"/>
    <w:bookmarkStart w:id="22" w:name="billed-to-client"/>
    <w:p>
      <w:pPr>
        <w:pStyle w:val="Heading3"/>
      </w:pPr>
      <w:r>
        <w:t xml:space="preserve">Billed To (Client)</w:t>
      </w:r>
    </w:p>
    <w:p>
      <w:pPr>
        <w:pStyle w:val="FirstParagraph"/>
      </w:pPr>
      <w:r>
        <w:rPr>
          <w:bCs/>
          <w:b/>
        </w:rPr>
        <w:t xml:space="preserve">Al-Sabah Trading &amp; Logistics Co. W.L.L.</w:t>
      </w:r>
    </w:p>
    <w:p>
      <w:pPr>
        <w:pStyle w:val="BodyText"/>
      </w:pPr>
      <w:r>
        <w:t xml:space="preserve">Attn: Ms. Noura Al-Mutawa, CFO</w:t>
      </w:r>
    </w:p>
    <w:p>
      <w:pPr>
        <w:pStyle w:val="BodyText"/>
      </w:pPr>
      <w:r>
        <w:t xml:space="preserve">Building 7, Block 2, Road 15</w:t>
      </w:r>
    </w:p>
    <w:p>
      <w:pPr>
        <w:pStyle w:val="BodyText"/>
      </w:pPr>
      <w:r>
        <w:t xml:space="preserve">Misr, Kuwait Kuwait City</w:t>
      </w:r>
    </w:p>
    <w:p>
      <w:pPr>
        <w:pStyle w:val="BodyText"/>
      </w:pPr>
      <w:r>
        <w:t xml:space="preserve">P.O. Box 8834, Salmiya 13001</w:t>
      </w:r>
    </w:p>
    <w:p>
      <w:pPr>
        <w:pStyle w:val="BodyText"/>
      </w:pPr>
      <w:r>
        <w:t xml:space="preserve">Tel: +965 2477 3312</w:t>
      </w:r>
    </w:p>
    <w:p>
      <w:pPr>
        <w:pStyle w:val="BodyText"/>
      </w:pPr>
      <w:r>
        <w:t xml:space="preserve">Email: n.almutawa@alsabah-logistics.com</w:t>
      </w:r>
    </w:p>
    <w:p>
      <w:pPr>
        <w:pStyle w:val="BodyText"/>
      </w:pPr>
      <w:r>
        <w:t xml:space="preserve">Civil ID / CR: 289104-KWT</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 (14 days)</w:t>
      </w:r>
    </w:p>
    <w:p>
      <w:pPr>
        <w:pStyle w:val="BodyText"/>
      </w:pPr>
      <w:r>
        <w:rPr>
          <w:bCs/>
          <w:b/>
        </w:rPr>
        <w:t xml:space="preserve">Currency:</w:t>
      </w:r>
      <w:r>
        <w:t xml:space="preserve"> </w:t>
      </w:r>
      <w:r>
        <w:t xml:space="preserve">Kuwaiti Dinar (KWD)</w:t>
      </w:r>
    </w:p>
    <w:p>
      <w:pPr>
        <w:pStyle w:val="BodyText"/>
      </w:pPr>
      <w:r>
        <w:rPr>
          <w:bCs/>
          <w:b/>
        </w:rPr>
        <w:t xml:space="preserve">Payment Method:</w:t>
      </w:r>
      <w:r>
        <w:t xml:space="preserve"> </w:t>
      </w:r>
      <w:r>
        <w:t xml:space="preserve">Bank Transfer / Cheque</w:t>
      </w:r>
    </w:p>
    <w:p>
      <w:pPr>
        <w:pStyle w:val="BodyText"/>
      </w:pPr>
      <w:r>
        <w:rPr>
          <w:bCs/>
          <w:b/>
        </w:rPr>
        <w:t xml:space="preserve">Banker Reference:</w:t>
      </w:r>
      <w:r>
        <w:t xml:space="preserve"> </w:t>
      </w:r>
      <w:r>
        <w:t xml:space="preserve">KNA-BNK-2025-0614</w:t>
      </w:r>
    </w:p>
    <w:bookmarkEnd w:id="23"/>
    <w:bookmarkStart w:id="24" w:name="service-period"/>
    <w:p>
      <w:pPr>
        <w:pStyle w:val="Heading3"/>
      </w:pPr>
      <w:r>
        <w:t xml:space="preserve">Service Period</w:t>
      </w:r>
    </w:p>
    <w:p>
      <w:pPr>
        <w:pStyle w:val="FirstParagraph"/>
      </w:pPr>
      <w:r>
        <w:rPr>
          <w:bCs/>
          <w:b/>
        </w:rPr>
        <w:t xml:space="preserve">From:</w:t>
      </w:r>
      <w:r>
        <w:t xml:space="preserve"> </w:t>
      </w:r>
      <w:r>
        <w:t xml:space="preserve">1 June 2025</w:t>
      </w:r>
    </w:p>
    <w:p>
      <w:pPr>
        <w:pStyle w:val="BodyText"/>
      </w:pPr>
      <w:r>
        <w:rPr>
          <w:bCs/>
          <w:b/>
        </w:rPr>
        <w:t xml:space="preserve">To:</w:t>
      </w:r>
      <w:r>
        <w:t xml:space="preserve"> </w:t>
      </w:r>
      <w:r>
        <w:t xml:space="preserve">30 June 2025</w:t>
      </w:r>
    </w:p>
    <w:p>
      <w:pPr>
        <w:pStyle w:val="BodyText"/>
      </w:pPr>
      <w:r>
        <w:rPr>
          <w:bCs/>
          <w:b/>
        </w:rPr>
        <w:t xml:space="preserve">Location of Service:</w:t>
      </w:r>
      <w:r>
        <w:t xml:space="preserve"> </w:t>
      </w:r>
      <w:r>
        <w:t xml:space="preserve">Kuwait Kuwait City</w:t>
      </w:r>
    </w:p>
    <w:p>
      <w:pPr>
        <w:pStyle w:val="BodyText"/>
      </w:pPr>
      <w:r>
        <w:rPr>
          <w:bCs/>
          <w:b/>
        </w:rPr>
        <w:t xml:space="preserve">Engagement Type:</w:t>
      </w:r>
      <w:r>
        <w:t xml:space="preserve"> </w:t>
      </w:r>
      <w:r>
        <w:t xml:space="preserve">Monthly Retainer</w:t>
      </w:r>
    </w:p>
    <w:p>
      <w:pPr>
        <w:pStyle w:val="BodyText"/>
      </w:pPr>
      <w:r>
        <w:rPr>
          <w:bCs/>
          <w:b/>
        </w:rPr>
        <w:t xml:space="preserve">Banker Assigned:</w:t>
      </w:r>
      <w:r>
        <w:t xml:space="preserve"> </w:t>
      </w:r>
      <w:r>
        <w:t xml:space="preserve">Mr. Faisal Al-Rashidi</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Rate (KWD)</w:t>
            </w:r>
          </w:p>
        </w:tc>
        <w:tc>
          <w:tcPr/>
          <w:p>
            <w:pPr>
              <w:pStyle w:val="Compact"/>
              <w:jc w:val="left"/>
            </w:pPr>
            <w:r>
              <w:t xml:space="preserve">Hours / Units</w:t>
            </w:r>
          </w:p>
        </w:tc>
        <w:tc>
          <w:tcPr/>
          <w:p>
            <w:pPr>
              <w:pStyle w:val="Compact"/>
              <w:jc w:val="left"/>
            </w:pPr>
            <w:r>
              <w:t xml:space="preserve">Amount (KWD)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Corporate banking advisory and treasury management consultation conducted by the assigned Banker at the client's premises in Kuwait Kuwait City</w:t>
            </w:r>
          </w:p>
        </w:tc>
        <w:tc>
          <w:tcPr/>
          <w:p>
            <w:pPr>
              <w:pStyle w:val="Compact"/>
              <w:jc w:val="left"/>
            </w:pPr>
            <w:r>
              <w:t xml:space="preserve">45.000</w:t>
            </w:r>
          </w:p>
        </w:tc>
        <w:tc>
          <w:tcPr/>
          <w:p>
            <w:pPr>
              <w:pStyle w:val="Compact"/>
              <w:jc w:val="left"/>
            </w:pPr>
            <w:r>
              <w:t xml:space="preserve">12 hrs</w:t>
            </w:r>
          </w:p>
        </w:tc>
        <w:tc>
          <w:tcPr/>
          <w:p>
            <w:pPr>
              <w:pStyle w:val="Compact"/>
              <w:jc w:val="left"/>
            </w:pPr>
            <w:r>
              <w:t xml:space="preserve">540.000</w:t>
            </w:r>
          </w:p>
        </w:tc>
        <w:tc>
          <w:tcPr/>
          <w:p>
            <w:pPr>
              <w:pStyle w:val="Compact"/>
              <w:jc w:val="left"/>
            </w:pPr>
            <w:r>
              <w:t xml:space="preserve">27.000</w:t>
            </w:r>
          </w:p>
        </w:tc>
      </w:tr>
      <w:tr>
        <w:tc>
          <w:tcPr/>
          <w:p>
            <w:pPr>
              <w:pStyle w:val="Compact"/>
              <w:jc w:val="left"/>
            </w:pPr>
            <w:r>
              <w:t xml:space="preserve">2</w:t>
            </w:r>
          </w:p>
        </w:tc>
        <w:tc>
          <w:tcPr/>
          <w:p>
            <w:pPr>
              <w:pStyle w:val="Compact"/>
              <w:jc w:val="left"/>
            </w:pPr>
            <w:r>
              <w:t xml:space="preserve">Restructuring of multi-currency loan facilities and negotiation with the National Bank of Kuwait on behalf of the client, performed by the senior Banker</w:t>
            </w:r>
          </w:p>
        </w:tc>
        <w:tc>
          <w:tcPr/>
          <w:p>
            <w:pPr>
              <w:pStyle w:val="Compact"/>
              <w:jc w:val="left"/>
            </w:pPr>
            <w:r>
              <w:t xml:space="preserve">350.000</w:t>
            </w:r>
          </w:p>
        </w:tc>
        <w:tc>
          <w:tcPr/>
          <w:p>
            <w:pPr>
              <w:pStyle w:val="Compact"/>
              <w:jc w:val="left"/>
            </w:pPr>
            <w:r>
              <w:t xml:space="preserve">1 flat</w:t>
            </w:r>
          </w:p>
        </w:tc>
        <w:tc>
          <w:tcPr/>
          <w:p>
            <w:pPr>
              <w:pStyle w:val="Compact"/>
              <w:jc w:val="left"/>
            </w:pPr>
            <w:r>
              <w:t xml:space="preserve">350.000</w:t>
            </w:r>
          </w:p>
        </w:tc>
        <w:tc>
          <w:tcPr/>
          <w:p>
            <w:pPr>
              <w:pStyle w:val="Compact"/>
              <w:jc w:val="left"/>
            </w:pPr>
            <w:r>
              <w:t xml:space="preserve">17.500</w:t>
            </w:r>
          </w:p>
        </w:tc>
      </w:tr>
      <w:tr>
        <w:tc>
          <w:tcPr/>
          <w:p>
            <w:pPr>
              <w:pStyle w:val="Compact"/>
              <w:jc w:val="left"/>
            </w:pPr>
            <w:r>
              <w:t xml:space="preserve">3</w:t>
            </w:r>
          </w:p>
        </w:tc>
        <w:tc>
          <w:tcPr/>
          <w:p>
            <w:pPr>
              <w:pStyle w:val="Compact"/>
              <w:jc w:val="left"/>
            </w:pPr>
            <w:r>
              <w:t xml:space="preserve">Monthly cash-flow forecasting, liquidity risk assessment, and working-capital optimization report prepared by the Banker team in Kuwait Kuwait City</w:t>
            </w:r>
          </w:p>
        </w:tc>
        <w:tc>
          <w:tcPr/>
          <w:p>
            <w:pPr>
              <w:pStyle w:val="Compact"/>
              <w:jc w:val="left"/>
            </w:pPr>
            <w:r>
              <w:t xml:space="preserve">280.000</w:t>
            </w:r>
          </w:p>
        </w:tc>
        <w:tc>
          <w:tcPr/>
          <w:p>
            <w:pPr>
              <w:pStyle w:val="Compact"/>
              <w:jc w:val="left"/>
            </w:pPr>
            <w:r>
              <w:t xml:space="preserve">1 flat</w:t>
            </w:r>
          </w:p>
        </w:tc>
        <w:tc>
          <w:tcPr/>
          <w:p>
            <w:pPr>
              <w:pStyle w:val="Compact"/>
              <w:jc w:val="left"/>
            </w:pPr>
            <w:r>
              <w:t xml:space="preserve">280.000</w:t>
            </w:r>
          </w:p>
        </w:tc>
        <w:tc>
          <w:tcPr/>
          <w:p>
            <w:pPr>
              <w:pStyle w:val="Compact"/>
              <w:jc w:val="left"/>
            </w:pPr>
            <w:r>
              <w:t xml:space="preserve">14.000</w:t>
            </w:r>
          </w:p>
        </w:tc>
      </w:tr>
      <w:tr>
        <w:tc>
          <w:tcPr/>
          <w:p>
            <w:pPr>
              <w:pStyle w:val="Compact"/>
              <w:jc w:val="left"/>
            </w:pPr>
            <w:r>
              <w:t xml:space="preserve">4</w:t>
            </w:r>
          </w:p>
        </w:tc>
        <w:tc>
          <w:tcPr/>
          <w:p>
            <w:pPr>
              <w:pStyle w:val="Compact"/>
              <w:jc w:val="left"/>
            </w:pPr>
            <w:r>
              <w:t xml:space="preserve">Compliance review and anti-money-laundering (AML) audit support in accordance with the Central Bank of Kuwait regulations, delivered by the Banker</w:t>
            </w:r>
          </w:p>
        </w:tc>
        <w:tc>
          <w:tcPr/>
          <w:p>
            <w:pPr>
              <w:pStyle w:val="Compact"/>
              <w:jc w:val="left"/>
            </w:pPr>
            <w:r>
              <w:t xml:space="preserve">220.000</w:t>
            </w:r>
          </w:p>
        </w:tc>
        <w:tc>
          <w:tcPr/>
          <w:p>
            <w:pPr>
              <w:pStyle w:val="Compact"/>
              <w:jc w:val="left"/>
            </w:pPr>
            <w:r>
              <w:t xml:space="preserve">1 flat</w:t>
            </w:r>
          </w:p>
        </w:tc>
        <w:tc>
          <w:tcPr/>
          <w:p>
            <w:pPr>
              <w:pStyle w:val="Compact"/>
              <w:jc w:val="left"/>
            </w:pPr>
            <w:r>
              <w:t xml:space="preserve">220.000</w:t>
            </w:r>
          </w:p>
        </w:tc>
        <w:tc>
          <w:tcPr/>
          <w:p>
            <w:pPr>
              <w:pStyle w:val="Compact"/>
              <w:jc w:val="left"/>
            </w:pPr>
            <w:r>
              <w:t xml:space="preserve">11.000</w:t>
            </w:r>
          </w:p>
        </w:tc>
      </w:tr>
      <w:tr>
        <w:tc>
          <w:tcPr/>
          <w:p>
            <w:pPr>
              <w:pStyle w:val="Compact"/>
              <w:jc w:val="left"/>
            </w:pPr>
            <w:r>
              <w:t xml:space="preserve">5</w:t>
            </w:r>
          </w:p>
        </w:tc>
        <w:tc>
          <w:tcPr/>
          <w:p>
            <w:pPr>
              <w:pStyle w:val="Compact"/>
              <w:jc w:val="left"/>
            </w:pPr>
            <w:r>
              <w:t xml:space="preserve">On-site meeting and presentation at the Kuwait Kuwait City headquarters regarding Q3 investment portfolio rebalancing strategy, facilitated by the Banker</w:t>
            </w:r>
          </w:p>
        </w:tc>
        <w:tc>
          <w:tcPr/>
          <w:p>
            <w:pPr>
              <w:pStyle w:val="Compact"/>
              <w:jc w:val="left"/>
            </w:pPr>
            <w:r>
              <w:t xml:space="preserve">180.000</w:t>
            </w:r>
          </w:p>
        </w:tc>
        <w:tc>
          <w:tcPr/>
          <w:p>
            <w:pPr>
              <w:pStyle w:val="Compact"/>
              <w:jc w:val="left"/>
            </w:pPr>
            <w:r>
              <w:t xml:space="preserve">1 flat</w:t>
            </w:r>
          </w:p>
        </w:tc>
        <w:tc>
          <w:tcPr/>
          <w:p>
            <w:pPr>
              <w:pStyle w:val="Compact"/>
              <w:jc w:val="left"/>
            </w:pPr>
            <w:r>
              <w:t xml:space="preserve">180.000</w:t>
            </w:r>
          </w:p>
        </w:tc>
        <w:tc>
          <w:tcPr/>
          <w:p>
            <w:pPr>
              <w:pStyle w:val="Compact"/>
              <w:jc w:val="left"/>
            </w:pPr>
            <w:r>
              <w:t xml:space="preserve">9.000</w:t>
            </w:r>
          </w:p>
        </w:tc>
      </w:tr>
      <w:tr>
        <w:tc>
          <w:tcPr/>
          <w:p>
            <w:pPr>
              <w:pStyle w:val="Compact"/>
              <w:jc w:val="left"/>
            </w:pPr>
            <w:r>
              <w:t xml:space="preserve">6</w:t>
            </w:r>
          </w:p>
        </w:tc>
        <w:tc>
          <w:tcPr/>
          <w:p>
            <w:pPr>
              <w:pStyle w:val="Compact"/>
              <w:jc w:val="left"/>
            </w:pPr>
            <w:r>
              <w:t xml:space="preserve">Preparation and filing of regulatory reports with the Capital Markets Authority of Kuwait, handled by the Banker and support staff</w:t>
            </w:r>
          </w:p>
        </w:tc>
        <w:tc>
          <w:tcPr/>
          <w:p>
            <w:pPr>
              <w:pStyle w:val="Compact"/>
              <w:jc w:val="left"/>
            </w:pPr>
            <w:r>
              <w:t xml:space="preserve">150.000</w:t>
            </w:r>
          </w:p>
        </w:tc>
        <w:tc>
          <w:tcPr/>
          <w:p>
            <w:pPr>
              <w:pStyle w:val="Compact"/>
              <w:jc w:val="left"/>
            </w:pPr>
            <w:r>
              <w:t xml:space="preserve">1 flat</w:t>
            </w:r>
          </w:p>
        </w:tc>
        <w:tc>
          <w:tcPr/>
          <w:p>
            <w:pPr>
              <w:pStyle w:val="Compact"/>
              <w:jc w:val="left"/>
            </w:pPr>
            <w:r>
              <w:t xml:space="preserve">150.000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(KWD)</w:t>
            </w:r>
          </w:p>
        </w:tc>
        <w:tc>
          <w:tcPr/>
          <w:p>
            <w:pPr>
              <w:pStyle w:val="Compact"/>
              <w:jc w:val="right"/>
            </w:pPr>
            <w:r>
              <w:rPr>
                <w:bCs/>
                <w:b/>
              </w:rPr>
              <w:t xml:space="preserve">1,720.000</w:t>
            </w:r>
          </w:p>
        </w:tc>
      </w:tr>
      <w:tr>
        <w:tc>
          <w:tcPr/>
          <w:p>
            <w:pPr>
              <w:pStyle w:val="Compact"/>
              <w:jc w:val="left"/>
            </w:pPr>
            <w:r>
              <w:t xml:space="preserve">VAT @ 5% (KWD)</w:t>
            </w:r>
          </w:p>
        </w:tc>
        <w:tc>
          <w:tcPr/>
          <w:p>
            <w:pPr>
              <w:pStyle w:val="Compact"/>
              <w:jc w:val="right"/>
            </w:pPr>
            <w:r>
              <w:rPr>
                <w:bCs/>
                <w:b/>
              </w:rPr>
              <w:t xml:space="preserve">86.000</w:t>
            </w:r>
          </w:p>
        </w:tc>
      </w:tr>
      <w:tr>
        <w:tc>
          <w:tcPr/>
          <w:p>
            <w:pPr>
              <w:pStyle w:val="Compact"/>
              <w:jc w:val="left"/>
            </w:pPr>
            <w:r>
              <w:t xml:space="preserve">Discount (Early Payment — 2%)</w:t>
            </w:r>
          </w:p>
        </w:tc>
        <w:tc>
          <w:tcPr/>
          <w:p>
            <w:pPr>
              <w:pStyle w:val="Compact"/>
              <w:jc w:val="right"/>
            </w:pPr>
            <w:r>
              <w:rPr>
                <w:bCs/>
                <w:b/>
              </w:rPr>
              <w:t xml:space="preserve">−34.400</w:t>
            </w:r>
          </w:p>
        </w:tc>
      </w:tr>
      <w:tr>
        <w:tc>
          <w:tcPr/>
          <w:p>
            <w:pPr>
              <w:pStyle w:val="Compact"/>
              <w:jc w:val="left"/>
            </w:pPr>
            <w:r>
              <w:t xml:space="preserve">Grand Total Due (KWD)</w:t>
            </w:r>
          </w:p>
        </w:tc>
        <w:tc>
          <w:tcPr/>
          <w:p>
            <w:pPr>
              <w:pStyle w:val="Compact"/>
              <w:jc w:val="right"/>
            </w:pPr>
            <w:r>
              <w:t xml:space="preserve">1,771.600</w:t>
            </w:r>
          </w:p>
        </w:tc>
      </w:tr>
    </w:tbl>
    <w:bookmarkStart w:id="25" w:name="notes-terms-of-this-invoice"/>
    <w:p>
      <w:pPr>
        <w:pStyle w:val="Heading3"/>
      </w:pPr>
      <w:r>
        <w:t xml:space="preserve">Notes &amp; Terms of This Invoice</w:t>
      </w:r>
    </w:p>
    <w:p>
      <w:pPr>
        <w:pStyle w:val="FirstParagraph"/>
      </w:pPr>
      <w:r>
        <w:t xml:space="preserve">1. This Invoice is issued by Al-Nakheel Financial Advisory Group, a licensed financial services firm operating in Kuwait Kuwait City, and represents the professional fees of the assigned Banker for the services rendered during the period specified above.</w:t>
      </w:r>
    </w:p>
    <w:p>
      <w:pPr>
        <w:pStyle w:val="BodyText"/>
      </w:pPr>
      <w:r>
        <w:t xml:space="preserve">2. Payment of this Invoice is due within fourteen (14) calendar days from the Invoice date. Late payments shall attract a penalty interest of 1.5% per month as stipulated under Kuwaiti commercial law.</w:t>
      </w:r>
    </w:p>
    <w:p>
      <w:pPr>
        <w:pStyle w:val="BodyText"/>
      </w:pPr>
      <w:r>
        <w:t xml:space="preserve">3. All services described in this Invoice were performed by a qualified Banker holding a valid license issued by the Central Bank of Kuwait. The Banker adhered to all professional standards and confidentiality obligations throughout the engagement in Kuwait Kuwait City.</w:t>
      </w:r>
    </w:p>
    <w:p>
      <w:pPr>
        <w:pStyle w:val="BodyText"/>
      </w:pPr>
      <w:r>
        <w:t xml:space="preserve">4. Please reference Invoice number KWT-2025-04871 and the Banker Reference KNA-BNK-2025-0614 on your payment remittance to ensure proper reconciliation.</w:t>
      </w:r>
    </w:p>
    <w:p>
      <w:pPr>
        <w:pStyle w:val="BodyText"/>
      </w:pPr>
      <w:r>
        <w:t xml:space="preserve">5. This Invoice is subject to the terms and conditions outlined in the Master Service Agreement dated 1 January 2025 between the Banker's firm and the client. Any disputes arising from this Invoice shall be governed by the laws of the State of Kuwait and adjudicated in the competent courts of Kuwait Kuwait City.</w:t>
      </w:r>
    </w:p>
    <w:p>
      <w:pPr>
        <w:pStyle w:val="BodyText"/>
      </w:pPr>
      <w:r>
        <w:t xml:space="preserve">6. A copy of this Invoice has been filed with the client's records. In the event of any discrepancy, the client is requested to contact the undersigned Banker within seven (7) business days of receipt.</w:t>
      </w:r>
    </w:p>
    <w:bookmarkEnd w:id="25"/>
    <w:p>
      <w:pPr>
        <w:pStyle w:val="BodyText"/>
      </w:pPr>
      <w:r>
        <w:rPr>
          <w:bCs/>
          <w:b/>
        </w:rPr>
        <w:t xml:space="preserve">Authorized Signatory (Banker):</w:t>
      </w:r>
      <w:r>
        <w:t xml:space="preserve"> </w:t>
      </w:r>
      <w:r>
        <w:t xml:space="preserve">Mr. Faisal Al-Rashidi — Senior Banker, Al-Nakheel Financial Advisory Group</w:t>
      </w:r>
    </w:p>
    <w:p>
      <w:pPr>
        <w:pStyle w:val="BodyText"/>
      </w:pPr>
      <w:r>
        <w:t xml:space="preserve">Issued in Kuwait Kuwait City, State of Kuwait — 14 June 2025</w:t>
      </w:r>
    </w:p>
    <w:p>
      <w:pPr>
        <w:pStyle w:val="BodyText"/>
      </w:pPr>
      <w:r>
        <w:t xml:space="preserve">This Invoice is valid for 90 days from the date of issue. After this period, the Banker reserves the right to reissue the Invoice with applicable adjustments. Thank you for your business.</w:t>
      </w:r>
    </w:p>
    <w:p>
      <w:pPr>
        <w:pStyle w:val="BodyText"/>
      </w:pPr>
      <w:r>
        <w:t xml:space="preserve">© 2025 Al-Nakheel Financial Advisory Group — Kuwait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Kuwait Kuwait City</dc:title>
  <dc:creator/>
  <dc:language>en</dc:language>
  <cp:keywords/>
  <dcterms:created xsi:type="dcterms:W3CDTF">2026-10-10T08:41:02Z</dcterms:created>
  <dcterms:modified xsi:type="dcterms:W3CDTF">2026-10-10T08:41:02Z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