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Banking</w:t>
      </w:r>
      <w:r>
        <w:t xml:space="preserve"> </w:t>
      </w:r>
      <w:r>
        <w:t xml:space="preserve">Services</w:t>
      </w:r>
      <w:r>
        <w:t xml:space="preserve"> </w:t>
      </w:r>
      <w:r>
        <w:t xml:space="preserve">-</w:t>
      </w:r>
      <w:r>
        <w:t xml:space="preserve"> </w:t>
      </w:r>
      <w:r>
        <w:t xml:space="preserve">Kuala</w:t>
      </w:r>
      <w:r>
        <w:t xml:space="preserve"> </w:t>
      </w:r>
      <w:r>
        <w:t xml:space="preserve">Lumpur,</w:t>
      </w:r>
      <w:r>
        <w:t xml:space="preserve"> </w:t>
      </w:r>
      <w:r>
        <w:t xml:space="preserve">Malaysia</w:t>
      </w:r>
    </w:p>
    <w:bookmarkStart w:id="20" w:name="meridian-capital-banking-sdn.-bhd."/>
    <w:p>
      <w:pPr>
        <w:pStyle w:val="Heading1"/>
      </w:pPr>
      <w:r>
        <w:t xml:space="preserve">Meridian Capital Banking Sdn. Bhd.</w:t>
      </w:r>
    </w:p>
    <w:p>
      <w:pPr>
        <w:pStyle w:val="FirstParagraph"/>
      </w:pPr>
      <w:r>
        <w:t xml:space="preserve">Senior Banker: Datuk Ahmad bin Rashid</w:t>
      </w:r>
    </w:p>
    <w:p>
      <w:pPr>
        <w:pStyle w:val="BodyText"/>
      </w:pPr>
      <w:r>
        <w:t xml:space="preserve">Level 42, Menara Bank Negara, Jalan Dato Onn</w:t>
      </w:r>
    </w:p>
    <w:p>
      <w:pPr>
        <w:pStyle w:val="BodyText"/>
      </w:pPr>
      <w:r>
        <w:t xml:space="preserve">Kuala Lumpur, 50480, Wilayah Persekutuan, Malaysia</w:t>
      </w:r>
    </w:p>
    <w:p>
      <w:pPr>
        <w:pStyle w:val="BodyText"/>
      </w:pPr>
      <w:r>
        <w:t xml:space="preserve">Tel: +603-2181-4500 | Email: d.ahmad@meridiancapital.my</w:t>
      </w:r>
    </w:p>
    <w:p>
      <w:pPr>
        <w:pStyle w:val="BodyText"/>
      </w:pPr>
      <w:r>
        <w:t xml:space="preserve">Registration No: 200301045678 (567890-A)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MCB-KL-2025-04872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BKR-2025-Q2-0091</w:t>
      </w:r>
    </w:p>
    <w:p>
      <w:pPr>
        <w:pStyle w:val="BodyText"/>
      </w:pPr>
      <w:r>
        <w:t xml:space="preserve">Banker Services</w:t>
      </w:r>
    </w:p>
    <w:bookmarkEnd w:id="21"/>
    <w:bookmarkStart w:id="22" w:name="bill-from-banker"/>
    <w:p>
      <w:pPr>
        <w:pStyle w:val="Heading3"/>
      </w:pPr>
      <w:r>
        <w:t xml:space="preserve">Bill From (Banker)</w:t>
      </w:r>
    </w:p>
    <w:p>
      <w:pPr>
        <w:pStyle w:val="FirstParagraph"/>
      </w:pPr>
      <w:r>
        <w:rPr>
          <w:bCs/>
          <w:b/>
        </w:rPr>
        <w:t xml:space="preserve">Meridian Capital Banking Sdn. Bhd.</w:t>
      </w:r>
    </w:p>
    <w:p>
      <w:pPr>
        <w:pStyle w:val="BodyText"/>
      </w:pPr>
      <w:r>
        <w:t xml:space="preserve">Attn: Datuk Ahmad bin Rashid, Senior Banker</w:t>
      </w:r>
    </w:p>
    <w:p>
      <w:pPr>
        <w:pStyle w:val="BodyText"/>
      </w:pPr>
      <w:r>
        <w:t xml:space="preserve">Corporate Banking Division</w:t>
      </w:r>
    </w:p>
    <w:p>
      <w:pPr>
        <w:pStyle w:val="BodyText"/>
      </w:pPr>
      <w:r>
        <w:t xml:space="preserve">Kuala Lumpur, 50480, Malaysia</w:t>
      </w:r>
    </w:p>
    <w:p>
      <w:pPr>
        <w:pStyle w:val="BodyText"/>
      </w:pPr>
      <w:r>
        <w:t xml:space="preserve">Bank: Maybank Berhad</w:t>
      </w:r>
    </w:p>
    <w:p>
      <w:pPr>
        <w:pStyle w:val="BodyText"/>
      </w:pPr>
      <w:r>
        <w:t xml:space="preserve">Account No: 5123-4567-8901-2345</w:t>
      </w:r>
    </w:p>
    <w:p>
      <w:pPr>
        <w:pStyle w:val="BodyText"/>
      </w:pPr>
      <w:r>
        <w:t xml:space="preserve">SWIFT: MBBEMYKL</w:t>
      </w:r>
    </w:p>
    <w:bookmarkEnd w:id="22"/>
    <w:bookmarkStart w:id="23" w:name="bill-to-client"/>
    <w:p>
      <w:pPr>
        <w:pStyle w:val="Heading3"/>
      </w:pPr>
      <w:r>
        <w:t xml:space="preserve">Bill To (Client)</w:t>
      </w:r>
    </w:p>
    <w:p>
      <w:pPr>
        <w:pStyle w:val="FirstParagraph"/>
      </w:pPr>
      <w:r>
        <w:rPr>
          <w:bCs/>
          <w:b/>
        </w:rPr>
        <w:t xml:space="preserve">Greenfield Manufacturing (M) Sdn. Bhd.</w:t>
      </w:r>
    </w:p>
    <w:p>
      <w:pPr>
        <w:pStyle w:val="BodyText"/>
      </w:pPr>
      <w:r>
        <w:t xml:space="preserve">Attn: Ms. Lim Wei Ling, Finance Director</w:t>
      </w:r>
    </w:p>
    <w:p>
      <w:pPr>
        <w:pStyle w:val="BodyText"/>
      </w:pPr>
      <w:r>
        <w:t xml:space="preserve">Lot 12, Jalan Industri 3, Taman Perindustrian</w:t>
      </w:r>
    </w:p>
    <w:p>
      <w:pPr>
        <w:pStyle w:val="BodyText"/>
      </w:pPr>
      <w:r>
        <w:t xml:space="preserve">Klang, 41150, Selangor, Malaysia</w:t>
      </w:r>
    </w:p>
    <w:p>
      <w:pPr>
        <w:pStyle w:val="BodyText"/>
      </w:pPr>
      <w:r>
        <w:t xml:space="preserve">Tin: 201901234567</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Banking Services Rendered by Banker</w:t>
            </w:r>
          </w:p>
        </w:tc>
        <w:tc>
          <w:tcPr/>
          <w:p>
            <w:pPr>
              <w:pStyle w:val="Compact"/>
              <w:jc w:val="left"/>
            </w:pPr>
            <w:r>
              <w:t xml:space="preserve">Period</w:t>
            </w:r>
          </w:p>
        </w:tc>
        <w:tc>
          <w:tcPr/>
          <w:p>
            <w:pPr>
              <w:pStyle w:val="Compact"/>
              <w:jc w:val="left"/>
            </w:pPr>
            <w:r>
              <w:t xml:space="preserve">Rate (MYR)</w:t>
            </w:r>
          </w:p>
        </w:tc>
        <w:tc>
          <w:tcPr/>
          <w:p>
            <w:pPr>
              <w:pStyle w:val="Compact"/>
              <w:jc w:val="left"/>
            </w:pPr>
            <w:r>
              <w:t xml:space="preserve">Amount (MYR)</w:t>
            </w:r>
          </w:p>
        </w:tc>
      </w:tr>
      <w:tr>
        <w:tc>
          <w:tcPr/>
          <w:p>
            <w:pPr>
              <w:pStyle w:val="Compact"/>
              <w:jc w:val="left"/>
            </w:pPr>
            <w:r>
              <w:t xml:space="preserve">1</w:t>
            </w:r>
          </w:p>
        </w:tc>
        <w:tc>
          <w:tcPr/>
          <w:p>
            <w:pPr>
              <w:pStyle w:val="Compact"/>
              <w:jc w:val="left"/>
            </w:pPr>
            <w:r>
              <w:t xml:space="preserve">Comprehensive corporate banking advisory and portfolio management services provided by the assigned Banker in Kuala Lumpur, including quarterly financial health assessments, liquidity planning, and strategic capital allocation recommendations for the client's manufacturing operations in Malaysia.</w:t>
            </w:r>
          </w:p>
        </w:tc>
        <w:tc>
          <w:tcPr/>
          <w:p>
            <w:pPr>
              <w:pStyle w:val="Compact"/>
              <w:jc w:val="left"/>
            </w:pPr>
            <w:r>
              <w:t xml:space="preserve">Q2 2025 (Apr–Jun)</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Trade finance facilitation and letter of credit issuance services coordinated by the Banker at the Kuala Lumpur head office. This includes processing of import/export documentation, foreign exchange hedging arrangements, and multi-currency settlement services for the client's international supply chain operations.</w:t>
            </w:r>
          </w:p>
        </w:tc>
        <w:tc>
          <w:tcPr/>
          <w:p>
            <w:pPr>
              <w:pStyle w:val="Compact"/>
              <w:jc w:val="left"/>
            </w:pPr>
            <w:r>
              <w:t xml:space="preserve">Q2 2025 (Apr–Jun)</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3</w:t>
            </w:r>
          </w:p>
        </w:tc>
        <w:tc>
          <w:tcPr/>
          <w:p>
            <w:pPr>
              <w:pStyle w:val="Compact"/>
              <w:jc w:val="left"/>
            </w:pPr>
            <w:r>
              <w:t xml:space="preserve">Working capital loan restructuring and refinancing advisory. The Banker conducted a full review of the client's existing credit facilities, negotiated revised interest rate terms with the lending committee, and prepared a comprehensive restructuring proposal submitted to the Board of Directors in Kuala Lumpur.</w:t>
            </w:r>
          </w:p>
        </w:tc>
        <w:tc>
          <w:tcPr/>
          <w:p>
            <w:pPr>
              <w:pStyle w:val="Compact"/>
              <w:jc w:val="left"/>
            </w:pPr>
            <w:r>
              <w:t xml:space="preserve">May 2025</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4</w:t>
            </w:r>
          </w:p>
        </w:tc>
        <w:tc>
          <w:tcPr/>
          <w:p>
            <w:pPr>
              <w:pStyle w:val="Compact"/>
              <w:jc w:val="left"/>
            </w:pPr>
            <w:r>
              <w:t xml:space="preserve">Cash management and treasury services implementation. The Banker oversaw the deployment of automated sweep accounts, real-time inter-account transfer systems, and daily reconciliation reporting for the client's seventeen operational accounts across Malaysia, with primary coordination from the Kuala Lumpur treasury desk.</w:t>
            </w:r>
          </w:p>
        </w:tc>
        <w:tc>
          <w:tcPr/>
          <w:p>
            <w:pPr>
              <w:pStyle w:val="Compact"/>
              <w:jc w:val="left"/>
            </w:pPr>
            <w:r>
              <w:t xml:space="preserve">Q2 2025 (Apr–Jun)</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5</w:t>
            </w:r>
          </w:p>
        </w:tc>
        <w:tc>
          <w:tcPr/>
          <w:p>
            <w:pPr>
              <w:pStyle w:val="Compact"/>
              <w:jc w:val="left"/>
            </w:pPr>
            <w:r>
              <w:t xml:space="preserve">Regulatory compliance and anti-money laundering (AML) due diligence review. The Banker performed enhanced due diligence in accordance with Bank Negara Malaysia guidelines, including beneficial ownership verification, transaction monitoring calibration, and preparation of the annual compliance certification filed with the Securities Commission of Malaysia.</w:t>
            </w:r>
          </w:p>
        </w:tc>
        <w:tc>
          <w:tcPr/>
          <w:p>
            <w:pPr>
              <w:pStyle w:val="Compact"/>
              <w:jc w:val="left"/>
            </w:pPr>
            <w:r>
              <w:t xml:space="preserve">June 2025</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6</w:t>
            </w:r>
          </w:p>
        </w:tc>
        <w:tc>
          <w:tcPr/>
          <w:p>
            <w:pPr>
              <w:pStyle w:val="Compact"/>
              <w:jc w:val="left"/>
            </w:pPr>
            <w:r>
              <w:t xml:space="preserve">Executive banking relationship management and on-site consultations. The Banker conducted four (4) in-person meetings at the client's premises in Klang and two (2) strategy sessions at the Kuala Lumpur office, covering business expansion financing, dividend policy advisory, and succession planning for the client's leadership structure.</w:t>
            </w:r>
          </w:p>
        </w:tc>
        <w:tc>
          <w:tcPr/>
          <w:p>
            <w:pPr>
              <w:pStyle w:val="Compact"/>
              <w:jc w:val="left"/>
            </w:pPr>
            <w:r>
              <w:t xml:space="preserve">Q2 2025 (Apr–Jun)</w:t>
            </w:r>
          </w:p>
        </w:tc>
        <w:tc>
          <w:tcPr/>
          <w:p>
            <w:pPr>
              <w:pStyle w:val="Compact"/>
              <w:jc w:val="left"/>
            </w:pPr>
            <w:r>
              <w:t xml:space="preserve">5,500.00</w:t>
            </w:r>
          </w:p>
        </w:tc>
        <w:tc>
          <w:tcPr/>
          <w:p>
            <w:pPr>
              <w:pStyle w:val="Compact"/>
              <w:jc w:val="left"/>
            </w:pPr>
            <w:r>
              <w:t xml:space="preserve">5,500.00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RM 52,300.00</w:t>
            </w:r>
          </w:p>
        </w:tc>
      </w:tr>
      <w:tr>
        <w:tc>
          <w:tcPr/>
          <w:p>
            <w:pPr>
              <w:pStyle w:val="Compact"/>
              <w:jc w:val="left"/>
            </w:pPr>
            <w:r>
              <w:t xml:space="preserve">Sales &amp; Service Tax (SST) @ 6%</w:t>
            </w:r>
          </w:p>
        </w:tc>
        <w:tc>
          <w:tcPr/>
          <w:p>
            <w:pPr>
              <w:pStyle w:val="Compact"/>
              <w:jc w:val="left"/>
            </w:pPr>
            <w:r>
              <w:t xml:space="preserve">RM 3,138.00</w:t>
            </w:r>
          </w:p>
        </w:tc>
      </w:tr>
      <w:tr>
        <w:tc>
          <w:tcPr/>
          <w:p>
            <w:pPr>
              <w:pStyle w:val="Compact"/>
              <w:jc w:val="left"/>
            </w:pPr>
            <w:r>
              <w:t xml:space="preserve">Banker Service Surcharge (Kuala Lumpur Metro)</w:t>
            </w:r>
          </w:p>
        </w:tc>
        <w:tc>
          <w:tcPr/>
          <w:p>
            <w:pPr>
              <w:pStyle w:val="Compact"/>
              <w:jc w:val="left"/>
            </w:pPr>
            <w:r>
              <w:t xml:space="preserve">RM 450.00</w:t>
            </w:r>
          </w:p>
        </w:tc>
      </w:tr>
      <w:tr>
        <w:tc>
          <w:tcPr/>
          <w:p>
            <w:pPr>
              <w:pStyle w:val="Compact"/>
              <w:jc w:val="left"/>
            </w:pPr>
            <w:r>
              <w:t xml:space="preserve">TOTAL AMOUNT DUE</w:t>
            </w:r>
          </w:p>
        </w:tc>
        <w:tc>
          <w:tcPr/>
          <w:p>
            <w:pPr>
              <w:pStyle w:val="Compact"/>
              <w:jc w:val="left"/>
            </w:pPr>
            <w:r>
              <w:t xml:space="preserve">RM 55,888.00</w:t>
            </w:r>
          </w:p>
        </w:tc>
      </w:tr>
    </w:tbl>
    <w:bookmarkStart w:id="24" w:name="payment-terms-instructions"/>
    <w:p>
      <w:pPr>
        <w:pStyle w:val="Heading3"/>
      </w:pPr>
      <w:r>
        <w:t xml:space="preserve">Payment Terms &amp; Instructions</w:t>
      </w:r>
    </w:p>
    <w:p>
      <w:pPr>
        <w:pStyle w:val="FirstParagraph"/>
      </w:pPr>
      <w:r>
        <w:t xml:space="preserve">This invoice issued by the undersigned Banker of Meridian Capital Banking Sdn. Bhd. in Kuala Lumpur, Malaysia, is payable within thirty (30) calendar days from the date of issue. Payment shall be remitted via electronic funds transfer (EFT) to the bank account specified above. Please quote the Invoice Number</w:t>
      </w:r>
      <w:r>
        <w:t xml:space="preserve"> </w:t>
      </w:r>
      <w:r>
        <w:rPr>
          <w:bCs/>
          <w:b/>
        </w:rPr>
        <w:t xml:space="preserve">MCB-KL-2025-04872</w:t>
      </w:r>
      <w:r>
        <w:t xml:space="preserve"> </w:t>
      </w:r>
      <w:r>
        <w:t xml:space="preserve">in all correspondence and remittance advices.</w:t>
      </w:r>
    </w:p>
    <w:p>
      <w:pPr>
        <w:pStyle w:val="BodyText"/>
      </w:pPr>
      <w:r>
        <w:t xml:space="preserve">A late payment penalty of 2% per month (or the maximum rate permitted under the Late Payment of Outstanding Trade Debts and Interest Act 2017 of Malaysia, whichever is lower) shall apply to any outstanding balance beyond the due date of 15 July 2025.</w:t>
      </w:r>
    </w:p>
    <w:p>
      <w:pPr>
        <w:pStyle w:val="BodyText"/>
      </w:pPr>
      <w:r>
        <w:t xml:space="preserve">All amounts are stated in Malaysian Ringgit (MYR / RM). This invoice is subject to the jurisdiction of the courts of Malaysia and governed by the laws of the Federation of Malaysia.</w:t>
      </w:r>
    </w:p>
    <w:bookmarkEnd w:id="24"/>
    <w:bookmarkStart w:id="25" w:name="notes-declarations"/>
    <w:p>
      <w:pPr>
        <w:pStyle w:val="Heading3"/>
      </w:pPr>
      <w:r>
        <w:t xml:space="preserve">Notes &amp; Declarations</w:t>
      </w:r>
    </w:p>
    <w:p>
      <w:pPr>
        <w:pStyle w:val="FirstParagraph"/>
      </w:pPr>
      <w:r>
        <w:t xml:space="preserve">1. This invoice represents professional banking services rendered by the designated Banker, Datuk Ahmad bin Rashid, in his capacity as Senior Banker of the Corporate Banking Division, Kuala Lumpur, Malaysia. All services were delivered in accordance with the Master Banking Services Agreement dated 1 January 2025 (Ref: MSA-2025-0034).</w:t>
      </w:r>
    </w:p>
    <w:p>
      <w:pPr>
        <w:pStyle w:val="BodyText"/>
      </w:pPr>
      <w:r>
        <w:t xml:space="preserve">2. The Banker confirms that all advisory, facilitation, and compliance services described herein were performed in full compliance with the Financial Services Act 2013, the Anti-Money Laundering, Anti-Terrorism Financing and Proceeds of Unlawful Activities Act 2001 (AMLA), and all applicable directives issued by Bank Negara Malaysia.</w:t>
      </w:r>
    </w:p>
    <w:p>
      <w:pPr>
        <w:pStyle w:val="BodyText"/>
      </w:pPr>
      <w:r>
        <w:t xml:space="preserve">3. The client acknowledges receipt of this invoice and agrees that the services rendered by the Banker in Kuala Lumpur constitute a complete and satisfactory fulfilment of the obligations under the referenced agreement for the period stated. Any disputes regarding the scope or quality of banking services must be raised in writing within fourteen (14) days of the invoice date.</w:t>
      </w:r>
    </w:p>
    <w:p>
      <w:pPr>
        <w:pStyle w:val="BodyText"/>
      </w:pPr>
      <w:r>
        <w:t xml:space="preserve">4. This invoice is valid for a period of ninety (90) days from the date of issue. After this period, the Banker reserves the right to reissue the invoice with applicable adjustments for currency fluctuation or regulatory fee changes as determined by the relevant Malaysian financial authorities.</w:t>
      </w:r>
    </w:p>
    <w:p>
      <w:pPr>
        <w:pStyle w:val="BodyText"/>
      </w:pPr>
      <w:r>
        <w:t xml:space="preserve">5. For queries regarding this invoice or the banking services provided, please contact the undersigned Banker directly at the Kuala Lumpur office during business hours (Monday to Friday, 8:30 AM to 5:30 PM, excluding public holidays in Malaysia).</w:t>
      </w:r>
    </w:p>
    <w:bookmarkEnd w:id="25"/>
    <w:p>
      <w:pPr>
        <w:pStyle w:val="BodyText"/>
      </w:pPr>
      <w:r>
        <w:rPr>
          <w:bCs/>
          <w:b/>
        </w:rPr>
        <w:t xml:space="preserve">Meridian Capital Banking Sdn. Bhd.</w:t>
      </w:r>
      <w:r>
        <w:t xml:space="preserve"> </w:t>
      </w:r>
      <w:r>
        <w:t xml:space="preserve">| Level 42, Menara Bank Negara, Jalan Dato Onn, 50480 Kuala Lumpur, Malaysia</w:t>
      </w:r>
    </w:p>
    <w:p>
      <w:pPr>
        <w:pStyle w:val="BodyText"/>
      </w:pPr>
      <w:r>
        <w:t xml:space="preserve">Registered with Bank Negara Malaysia | License No: BN-2003-0456 | Company Reg: 200301045678 (567890-A)</w:t>
      </w:r>
    </w:p>
    <w:p>
      <w:pPr>
        <w:pStyle w:val="BodyText"/>
      </w:pPr>
      <w:r>
        <w:t xml:space="preserve">This is a computer-generated invoice issued by the Banker and does not require a physical signature. For verification, please contact the Compliance Department at compliance@meridiancapital.my.</w:t>
      </w:r>
    </w:p>
    <w:p>
      <w:pPr>
        <w:pStyle w:val="BodyText"/>
      </w:pPr>
      <w:r>
        <w:t xml:space="preserve">© 2025 Meridian Capital Banking Sdn. Bhd. All rights reserved. | Invoice MCB-KL-2025-04872 | Kuala Lumpur, Malaysia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Banking Services - Kuala Lumpur, Malaysia</dc:title>
  <dc:creator/>
  <dc:language>en</dc:language>
  <cp:keywords/>
  <dcterms:created xsi:type="dcterms:W3CDTF">2026-10-10T07:36:04Z</dcterms:created>
  <dcterms:modified xsi:type="dcterms:W3CDTF">2026-10-10T07:36:04Z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