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X135bd73a7da79fc06db43254d21fab5b5f01de7"/>
    <w:p>
      <w:pPr>
        <w:pStyle w:val="Heading1"/>
      </w:pPr>
      <w:r>
        <w:t xml:space="preserve">Grupo Financiero Metropolitano S.A. de C.V.</w:t>
      </w:r>
    </w:p>
    <w:p>
      <w:pPr>
        <w:pStyle w:val="FirstParagraph"/>
      </w:pPr>
      <w:r>
        <w:t xml:space="preserve">Av. Paseo de la Reforma 505, Piso 12</w:t>
      </w:r>
    </w:p>
    <w:p>
      <w:pPr>
        <w:pStyle w:val="BodyText"/>
      </w:pPr>
      <w:r>
        <w:t xml:space="preserve">Col. Cuauhtémoc, C.P. 06500</w:t>
      </w:r>
    </w:p>
    <w:p>
      <w:pPr>
        <w:pStyle w:val="BodyText"/>
      </w:pPr>
      <w:r>
        <w:t xml:space="preserve">Mexico Mexico City, CDMX, México</w:t>
      </w:r>
    </w:p>
    <w:p>
      <w:pPr>
        <w:pStyle w:val="BodyText"/>
      </w:pPr>
      <w:r>
        <w:t xml:space="preserve">Tel: +52 (55) 5512-3456 | RFC: GFM980512AB1</w:t>
      </w:r>
    </w:p>
    <w:p>
      <w:pPr>
        <w:pStyle w:val="BodyText"/>
      </w:pPr>
      <w:r>
        <w:t xml:space="preserve">Correo: facturacion@grupofinanciero-mx.com</w:t>
      </w:r>
    </w:p>
    <w:bookmarkEnd w:id="20"/>
    <w:bookmarkStart w:id="21" w:name="invoice"/>
    <w:p>
      <w:pPr>
        <w:pStyle w:val="Heading2"/>
      </w:pPr>
      <w:r>
        <w:t xml:space="preserve">INVOICE</w:t>
      </w:r>
    </w:p>
    <w:p>
      <w:pPr>
        <w:pStyle w:val="FirstParagraph"/>
      </w:pPr>
      <w:r>
        <w:t xml:space="preserve">Invoice No. GFM-2025-04872</w:t>
      </w:r>
    </w:p>
    <w:p>
      <w:pPr>
        <w:pStyle w:val="BodyText"/>
      </w:pPr>
      <w:r>
        <w:t xml:space="preserve">Date of Issue: June 15, 2025</w:t>
      </w:r>
    </w:p>
    <w:p>
      <w:pPr>
        <w:pStyle w:val="BodyText"/>
      </w:pPr>
      <w:r>
        <w:t xml:space="preserve">Due Date: July 15,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Empresa Constructora del Valle S.A. de C.V.</w:t>
      </w:r>
    </w:p>
    <w:p>
      <w:pPr>
        <w:pStyle w:val="BodyText"/>
      </w:pPr>
      <w:r>
        <w:t xml:space="preserve">Av. Insurgentes Sur 1830, Piso 8</w:t>
      </w:r>
    </w:p>
    <w:p>
      <w:pPr>
        <w:pStyle w:val="BodyText"/>
      </w:pPr>
      <w:r>
        <w:t xml:space="preserve">Col. Del Valle Centro, C.P. 03100</w:t>
      </w:r>
    </w:p>
    <w:p>
      <w:pPr>
        <w:pStyle w:val="BodyText"/>
      </w:pPr>
      <w:r>
        <w:t xml:space="preserve">Mexico Mexico City, CDMX, México</w:t>
      </w:r>
    </w:p>
    <w:p>
      <w:pPr>
        <w:pStyle w:val="BodyText"/>
      </w:pPr>
      <w:r>
        <w:t xml:space="preserve">RFC: ECV020315CD2</w:t>
      </w:r>
    </w:p>
    <w:p>
      <w:pPr>
        <w:pStyle w:val="BodyText"/>
      </w:pPr>
      <w:r>
        <w:t xml:space="preserve">Contact: Lic. María Fernanda Gutiérrez</w:t>
      </w:r>
    </w:p>
    <w:bookmarkEnd w:id="22"/>
    <w:bookmarkStart w:id="23" w:name="banker-service-provider"/>
    <w:p>
      <w:pPr>
        <w:pStyle w:val="Heading3"/>
      </w:pPr>
      <w:r>
        <w:t xml:space="preserve">Banker / Service Provider</w:t>
      </w:r>
    </w:p>
    <w:p>
      <w:pPr>
        <w:pStyle w:val="FirstParagraph"/>
      </w:pPr>
      <w:r>
        <w:rPr>
          <w:bCs/>
          <w:b/>
        </w:rPr>
        <w:t xml:space="preserve">Ing. Ricardo Alejandro Solís Vega</w:t>
      </w:r>
    </w:p>
    <w:p>
      <w:pPr>
        <w:pStyle w:val="BodyText"/>
      </w:pPr>
      <w:r>
        <w:t xml:space="preserve">Senior Banker &amp; Financial Advisor</w:t>
      </w:r>
    </w:p>
    <w:p>
      <w:pPr>
        <w:pStyle w:val="BodyText"/>
      </w:pPr>
      <w:r>
        <w:t xml:space="preserve">Certified by CNBV (Comisión Nacional Bancaria y de Valores)</w:t>
      </w:r>
    </w:p>
    <w:p>
      <w:pPr>
        <w:pStyle w:val="BodyText"/>
      </w:pPr>
      <w:r>
        <w:t xml:space="preserve">Licencia Bancaria No. LB-2019-44782</w:t>
      </w:r>
    </w:p>
    <w:p>
      <w:pPr>
        <w:pStyle w:val="BodyText"/>
      </w:pPr>
      <w:r>
        <w:t xml:space="preserve">Office: Mexico Mexico City, Torre Reforma</w:t>
      </w:r>
    </w:p>
    <w:p>
      <w:pPr>
        <w:pStyle w:val="BodyText"/>
      </w:pPr>
      <w:r>
        <w:t xml:space="preserve">Ext. 4421 | r.solis@grupofinanciero-mx.com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Banking Services</w:t>
            </w:r>
          </w:p>
        </w:tc>
        <w:tc>
          <w:tcPr/>
          <w:p>
            <w:pPr>
              <w:pStyle w:val="Compact"/>
              <w:jc w:val="left"/>
            </w:pPr>
            <w:r>
              <w:t xml:space="preserve">Service Period</w:t>
            </w:r>
          </w:p>
        </w:tc>
        <w:tc>
          <w:tcPr/>
          <w:p>
            <w:pPr>
              <w:pStyle w:val="Compact"/>
              <w:jc w:val="left"/>
            </w:pPr>
            <w:r>
              <w:t xml:space="preserve">Rate (MXN)</w:t>
            </w:r>
          </w:p>
        </w:tc>
        <w:tc>
          <w:tcPr/>
          <w:p>
            <w:pPr>
              <w:pStyle w:val="Compact"/>
              <w:jc w:val="left"/>
            </w:pPr>
            <w:r>
              <w:t xml:space="preserve">Qty</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Comprehensive corporate banking advisory and account restructuring services provided by the assigned Banker to optimize liquidity management for the client's operations in Mexico Mexico City.</w:t>
            </w:r>
          </w:p>
        </w:tc>
        <w:tc>
          <w:tcPr/>
          <w:p>
            <w:pPr>
              <w:pStyle w:val="Compact"/>
              <w:jc w:val="left"/>
            </w:pPr>
            <w:r>
              <w:t xml:space="preserve">Jan – Jun 2025</w:t>
            </w:r>
          </w:p>
        </w:tc>
        <w:tc>
          <w:tcPr/>
          <w:p>
            <w:pPr>
              <w:pStyle w:val="Compact"/>
              <w:jc w:val="left"/>
            </w:pPr>
            <w:r>
              <w:t xml:space="preserve">$18,500.00</w:t>
            </w:r>
          </w:p>
        </w:tc>
        <w:tc>
          <w:tcPr/>
          <w:p>
            <w:pPr>
              <w:pStyle w:val="Compact"/>
              <w:jc w:val="left"/>
            </w:pPr>
            <w:r>
              <w:t xml:space="preserve">6</w:t>
            </w:r>
          </w:p>
        </w:tc>
        <w:tc>
          <w:tcPr/>
          <w:p>
            <w:pPr>
              <w:pStyle w:val="Compact"/>
              <w:jc w:val="left"/>
            </w:pPr>
            <w:r>
              <w:t xml:space="preserve">$111,000.00</w:t>
            </w:r>
          </w:p>
        </w:tc>
      </w:tr>
      <w:tr>
        <w:tc>
          <w:tcPr/>
          <w:p>
            <w:pPr>
              <w:pStyle w:val="Compact"/>
              <w:jc w:val="left"/>
            </w:pPr>
            <w:r>
              <w:t xml:space="preserve">02</w:t>
            </w:r>
          </w:p>
        </w:tc>
        <w:tc>
          <w:tcPr/>
          <w:p>
            <w:pPr>
              <w:pStyle w:val="Compact"/>
              <w:jc w:val="left"/>
            </w:pPr>
            <w:r>
              <w:t xml:space="preserve">Credit facility negotiation and loan structuring. The Banker facilitated a working capital credit line of $12,000,000 MXN with preferential interest rates through partner institutions in Mexico Mexico City.</w:t>
            </w:r>
          </w:p>
        </w:tc>
        <w:tc>
          <w:tcPr/>
          <w:p>
            <w:pPr>
              <w:pStyle w:val="Compact"/>
              <w:jc w:val="left"/>
            </w:pPr>
            <w:r>
              <w:t xml:space="preserve">Mar 2025</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Treasury management and foreign exchange hedging strategy. The Banker designed a multi-currency hedging program to protect the client's USD and EUR receivables against MXN volatility.</w:t>
            </w:r>
          </w:p>
        </w:tc>
        <w:tc>
          <w:tcPr/>
          <w:p>
            <w:pPr>
              <w:pStyle w:val="Compact"/>
              <w:jc w:val="left"/>
            </w:pPr>
            <w:r>
              <w:t xml:space="preserve">Feb – May 2025</w:t>
            </w:r>
          </w:p>
        </w:tc>
        <w:tc>
          <w:tcPr/>
          <w:p>
            <w:pPr>
              <w:pStyle w:val="Compact"/>
              <w:jc w:val="left"/>
            </w:pPr>
            <w:r>
              <w:t xml:space="preserve">$22,000.00</w:t>
            </w:r>
          </w:p>
        </w:tc>
        <w:tc>
          <w:tcPr/>
          <w:p>
            <w:pPr>
              <w:pStyle w:val="Compact"/>
              <w:jc w:val="left"/>
            </w:pPr>
            <w:r>
              <w:t xml:space="preserve">4</w:t>
            </w:r>
          </w:p>
        </w:tc>
        <w:tc>
          <w:tcPr/>
          <w:p>
            <w:pPr>
              <w:pStyle w:val="Compact"/>
              <w:jc w:val="left"/>
            </w:pPr>
            <w:r>
              <w:t xml:space="preserve">$88,000.00</w:t>
            </w:r>
          </w:p>
        </w:tc>
      </w:tr>
      <w:tr>
        <w:tc>
          <w:tcPr/>
          <w:p>
            <w:pPr>
              <w:pStyle w:val="Compact"/>
              <w:jc w:val="left"/>
            </w:pPr>
            <w:r>
              <w:t xml:space="preserve">04</w:t>
            </w:r>
          </w:p>
        </w:tc>
        <w:tc>
          <w:tcPr/>
          <w:p>
            <w:pPr>
              <w:pStyle w:val="Compact"/>
              <w:jc w:val="left"/>
            </w:pPr>
            <w:r>
              <w:t xml:space="preserve">Regulatory compliance review and CNBV reporting support. The Banker conducted quarterly compliance audits ensuring all financial instruments meet Mexican banking regulations applicable in Mexico Mexico City.</w:t>
            </w:r>
          </w:p>
        </w:tc>
        <w:tc>
          <w:tcPr/>
          <w:p>
            <w:pPr>
              <w:pStyle w:val="Compact"/>
              <w:jc w:val="left"/>
            </w:pPr>
            <w:r>
              <w:t xml:space="preserve">Q1 &amp; Q2 2025</w:t>
            </w:r>
          </w:p>
        </w:tc>
        <w:tc>
          <w:tcPr/>
          <w:p>
            <w:pPr>
              <w:pStyle w:val="Compact"/>
              <w:jc w:val="left"/>
            </w:pPr>
            <w:r>
              <w:t xml:space="preserve">$15,750.00</w:t>
            </w:r>
          </w:p>
        </w:tc>
        <w:tc>
          <w:tcPr/>
          <w:p>
            <w:pPr>
              <w:pStyle w:val="Compact"/>
              <w:jc w:val="left"/>
            </w:pPr>
            <w:r>
              <w:t xml:space="preserve">2</w:t>
            </w:r>
          </w:p>
        </w:tc>
        <w:tc>
          <w:tcPr/>
          <w:p>
            <w:pPr>
              <w:pStyle w:val="Compact"/>
              <w:jc w:val="left"/>
            </w:pPr>
            <w:r>
              <w:t xml:space="preserve">$31,500.00</w:t>
            </w:r>
          </w:p>
        </w:tc>
      </w:tr>
      <w:tr>
        <w:tc>
          <w:tcPr/>
          <w:p>
            <w:pPr>
              <w:pStyle w:val="Compact"/>
              <w:jc w:val="left"/>
            </w:pPr>
            <w:r>
              <w:t xml:space="preserve">05</w:t>
            </w:r>
          </w:p>
        </w:tc>
        <w:tc>
          <w:tcPr/>
          <w:p>
            <w:pPr>
              <w:pStyle w:val="Compact"/>
              <w:jc w:val="left"/>
            </w:pPr>
            <w:r>
              <w:t xml:space="preserve">Investment portfolio rebalancing and wealth management consultation. The Banker reviewed and restructured the corporate investment portfolio across fixed-income and equity instruments.</w:t>
            </w:r>
          </w:p>
        </w:tc>
        <w:tc>
          <w:tcPr/>
          <w:p>
            <w:pPr>
              <w:pStyle w:val="Compact"/>
              <w:jc w:val="left"/>
            </w:pPr>
            <w:r>
              <w:t xml:space="preserve">Apr 2025</w:t>
            </w:r>
          </w:p>
        </w:tc>
        <w:tc>
          <w:tcPr/>
          <w:p>
            <w:pPr>
              <w:pStyle w:val="Compact"/>
              <w:jc w:val="left"/>
            </w:pPr>
            <w:r>
              <w:t xml:space="preserve">$28,000.00</w:t>
            </w:r>
          </w:p>
        </w:tc>
        <w:tc>
          <w:tcPr/>
          <w:p>
            <w:pPr>
              <w:pStyle w:val="Compact"/>
              <w:jc w:val="left"/>
            </w:pPr>
            <w:r>
              <w:t xml:space="preserve">1</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On-site financial planning session and executive briefing at the client's headquarters in Mexico Mexico City. Includes presentation of annual banking strategy and risk assessment report.</w:t>
            </w:r>
          </w:p>
        </w:tc>
        <w:tc>
          <w:tcPr/>
          <w:p>
            <w:pPr>
              <w:pStyle w:val="Compact"/>
              <w:jc w:val="left"/>
            </w:pPr>
            <w:r>
              <w:t xml:space="preserve">Jun 10, 2025</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$316,000.00</w:t>
            </w:r>
          </w:p>
        </w:tc>
      </w:tr>
      <w:tr>
        <w:tc>
          <w:tcPr/>
          <w:p>
            <w:pPr>
              <w:pStyle w:val="Compact"/>
              <w:jc w:val="left"/>
            </w:pPr>
            <w:r>
              <w:t xml:space="preserve">IVA (16% VAT - Mexican Tax Code)</w:t>
            </w:r>
          </w:p>
        </w:tc>
        <w:tc>
          <w:tcPr/>
          <w:p>
            <w:pPr>
              <w:pStyle w:val="Compact"/>
              <w:jc w:val="right"/>
            </w:pPr>
            <w:r>
              <w:t xml:space="preserve">$50,560.00</w:t>
            </w:r>
          </w:p>
        </w:tc>
      </w:tr>
      <w:tr>
        <w:tc>
          <w:tcPr/>
          <w:p>
            <w:pPr>
              <w:pStyle w:val="Compact"/>
              <w:jc w:val="left"/>
            </w:pPr>
            <w:r>
              <w:t xml:space="preserve">Discount (Early Payment 2%)</w:t>
            </w:r>
          </w:p>
        </w:tc>
        <w:tc>
          <w:tcPr/>
          <w:p>
            <w:pPr>
              <w:pStyle w:val="Compact"/>
              <w:jc w:val="right"/>
            </w:pPr>
            <w:r>
              <w:t xml:space="preserve">-$6,320.00</w:t>
            </w:r>
          </w:p>
        </w:tc>
      </w:tr>
      <w:tr>
        <w:tc>
          <w:tcPr/>
          <w:p>
            <w:pPr>
              <w:pStyle w:val="Compact"/>
              <w:jc w:val="left"/>
            </w:pPr>
            <w:r>
              <w:t xml:space="preserve">GRAND TOTAL (MXN)</w:t>
            </w:r>
          </w:p>
        </w:tc>
        <w:tc>
          <w:tcPr/>
          <w:p>
            <w:pPr>
              <w:pStyle w:val="Compact"/>
              <w:jc w:val="right"/>
            </w:pPr>
            <w:r>
              <w:t xml:space="preserve">$360,240.00</w:t>
            </w:r>
          </w:p>
        </w:tc>
      </w:tr>
    </w:tbl>
    <w:bookmarkStart w:id="24" w:name="payment-terms-invoice-conditions"/>
    <w:p>
      <w:pPr>
        <w:pStyle w:val="Heading3"/>
      </w:pPr>
      <w:r>
        <w:t xml:space="preserve">Payment Terms &amp; Invoice Conditions</w:t>
      </w:r>
    </w:p>
    <w:p>
      <w:pPr>
        <w:pStyle w:val="FirstParagraph"/>
      </w:pPr>
      <w:r>
        <w:rPr>
          <w:bCs/>
          <w:b/>
        </w:rPr>
        <w:t xml:space="preserve">Payment Method:</w:t>
      </w:r>
      <w:r>
        <w:t xml:space="preserve"> </w:t>
      </w:r>
      <w:r>
        <w:t xml:space="preserve">Bank transfer (SPEI) to Grupo Financiero Metropolitano S.A. de C.V., CLABE: 012180012345678901, Banco: BBVA México, Sucursal: Mexico Mexico City Centro.</w:t>
      </w:r>
    </w:p>
    <w:p>
      <w:pPr>
        <w:pStyle w:val="BodyText"/>
      </w:pPr>
      <w:r>
        <w:rPr>
          <w:bCs/>
          <w:b/>
        </w:rPr>
        <w:t xml:space="preserve">Due Date:</w:t>
      </w:r>
      <w:r>
        <w:t xml:space="preserve"> </w:t>
      </w:r>
      <w:r>
        <w:t xml:space="preserve">This Invoice must be settled no later than July 15, 2025. A late payment penalty of 1.5% per month (as per Article 2209 of the Mexican Civil Code) will apply to overdue balances.</w:t>
      </w:r>
    </w:p>
    <w:p>
      <w:pPr>
        <w:pStyle w:val="BodyText"/>
      </w:pPr>
      <w:r>
        <w:rPr>
          <w:bCs/>
          <w:b/>
        </w:rPr>
        <w:t xml:space="preserve">Tax Documentation:</w:t>
      </w:r>
      <w:r>
        <w:t xml:space="preserve"> </w:t>
      </w:r>
      <w:r>
        <w:t xml:space="preserve">This Invoice has been issued in compliance with the Mexican Federal Tax Code (Código Fiscal de la Federación) and the regulations of the Servicio de Administración Tributaria (SAT). The CFDI (Comprobante Fiscal Digital por Internet) electronic invoice has been generated and is available for download at the SAT portal using the access code provided.</w:t>
      </w:r>
    </w:p>
    <w:p>
      <w:pPr>
        <w:pStyle w:val="BodyText"/>
      </w:pPr>
      <w:r>
        <w:rPr>
          <w:bCs/>
          <w:b/>
        </w:rPr>
        <w:t xml:space="preserve">Banker Certification:</w:t>
      </w:r>
      <w:r>
        <w:t xml:space="preserve"> </w:t>
      </w:r>
      <w:r>
        <w:t xml:space="preserve">All services rendered under this Invoice were performed by a licensed Banker registered with the Comisión Nacional Bancaria y de Valores (CNBV). The Banker's professional liability is covered under insurance policy No. GL-2025-78432 issued by Aseguradora Nacional de Riesgos Profesionales.</w:t>
      </w:r>
    </w:p>
    <w:p>
      <w:pPr>
        <w:pStyle w:val="BodyText"/>
      </w:pPr>
      <w:r>
        <w:rPr>
          <w:bCs/>
          <w:b/>
        </w:rPr>
        <w:t xml:space="preserve">Dispute Resolution:</w:t>
      </w:r>
      <w:r>
        <w:t xml:space="preserve"> </w:t>
      </w:r>
      <w:r>
        <w:t xml:space="preserve">Any disputes arising from this Invoice shall be resolved through arbitration in Mexico Mexico City, in accordance with the Mexican Arbitration Law (Ley de Arbitraje Comercial). The parties agree that the competent courts of Mexico Mexico City shall have jurisdiction in the absence of arbitration.</w:t>
      </w:r>
    </w:p>
    <w:p>
      <w:pPr>
        <w:pStyle w:val="BodyText"/>
      </w:pPr>
      <w:r>
        <w:rPr>
          <w:bCs/>
          <w:b/>
        </w:rPr>
        <w:t xml:space="preserve">Confidentiality:</w:t>
      </w:r>
      <w:r>
        <w:t xml:space="preserve"> </w:t>
      </w:r>
      <w:r>
        <w:t xml:space="preserve">All financial data, account information, and strategic recommendations provided by the Banker under this engagement are subject to strict confidentiality as mandated by the Mexican Banking Law (Ley General de Instituciones y Servicios Financieros) and applicable data protection regulations (LFPDPPP).</w:t>
      </w:r>
    </w:p>
    <w:bookmarkEnd w:id="24"/>
    <w:p>
      <w:pPr>
        <w:pStyle w:val="BodyText"/>
      </w:pPr>
      <w:r>
        <w:t xml:space="preserve">This Invoice is valid for 90 days from the date of issue. Please reference Invoice No. GFM-2025-04872 in all correspondence and payment remittances.</w:t>
      </w:r>
    </w:p>
    <w:p>
      <w:pPr>
        <w:pStyle w:val="BodyText"/>
      </w:pPr>
      <w:r>
        <w:t xml:space="preserve">Grupo Financiero Metropolitano S.A. de C.V. | Mexico Mexico City, CDMX, México | RFC: GFM980512AB1 | SAT Authorized Issuer</w:t>
      </w:r>
    </w:p>
    <w:p>
      <w:pPr>
        <w:pStyle w:val="BodyText"/>
      </w:pPr>
      <w:r>
        <w:t xml:space="preserve">Document generated electronically. This Invoice carries the same legal validity as a physical document under Mexican commercial law.</w:t>
      </w:r>
    </w:p>
    <w:p>
      <w:pPr>
        <w:pStyle w:val="BodyText"/>
      </w:pPr>
      <w:r>
        <w:t xml:space="preserve">Thank you for your business. We value our partnership and look forward to continuing to serve your financial needs in Mexico Mexico City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Mexico Mexico City</dc:title>
  <dc:creator/>
  <dc:language>en</dc:language>
  <cp:keywords/>
  <dcterms:created xsi:type="dcterms:W3CDTF">2026-10-10T05:53:36Z</dcterms:created>
  <dcterms:modified xsi:type="dcterms:W3CDTF">2026-10-10T05:53:36Z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