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u-kyaw-min-financial-advisory"/>
    <w:p>
      <w:pPr>
        <w:pStyle w:val="Heading1"/>
      </w:pPr>
      <w:r>
        <w:t xml:space="preserve">U Kyaw Min Financial Advisory</w:t>
      </w:r>
    </w:p>
    <w:p>
      <w:pPr>
        <w:pStyle w:val="FirstParagraph"/>
      </w:pPr>
      <w:r>
        <w:t xml:space="preserve">Licensed Banker &amp; Financial Consultant</w:t>
      </w:r>
    </w:p>
    <w:p>
      <w:pPr>
        <w:pStyle w:val="BodyText"/>
      </w:pPr>
      <w:r>
        <w:t xml:space="preserve">25th Street, Sanchaung Township</w:t>
      </w:r>
    </w:p>
    <w:p>
      <w:pPr>
        <w:pStyle w:val="BodyText"/>
      </w:pPr>
      <w:r>
        <w:t xml:space="preserve">Yangon, Myanmar 11151</w:t>
      </w:r>
    </w:p>
    <w:p>
      <w:pPr>
        <w:pStyle w:val="BodyText"/>
      </w:pPr>
      <w:r>
        <w:t xml:space="preserve">Tel: +95-9-795-123-456</w:t>
      </w:r>
    </w:p>
    <w:p>
      <w:pPr>
        <w:pStyle w:val="BodyText"/>
      </w:pPr>
      <w:r>
        <w:t xml:space="preserve">Email: u.kyawmin@bankeryangon.mm</w:t>
      </w:r>
    </w:p>
    <w:p>
      <w:pPr>
        <w:pStyle w:val="BodyText"/>
      </w:pPr>
      <w:r>
        <w:t xml:space="preserve">Banker License No: MY-BNK-2024-00871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INV-YGN-2025-0347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anker-service-provider"/>
    <w:p>
      <w:pPr>
        <w:pStyle w:val="Heading3"/>
      </w:pPr>
      <w:r>
        <w:t xml:space="preserve">Banker / Service Provider</w:t>
      </w:r>
    </w:p>
    <w:p>
      <w:pPr>
        <w:pStyle w:val="FirstParagraph"/>
      </w:pPr>
      <w:r>
        <w:rPr>
          <w:bCs/>
          <w:b/>
        </w:rPr>
        <w:t xml:space="preserve">Name:</w:t>
      </w:r>
      <w:r>
        <w:t xml:space="preserve"> </w:t>
      </w:r>
      <w:r>
        <w:t xml:space="preserve">U Kyaw Min Aung</w:t>
      </w:r>
    </w:p>
    <w:p>
      <w:pPr>
        <w:pStyle w:val="BodyText"/>
      </w:pPr>
      <w:r>
        <w:rPr>
          <w:bCs/>
          <w:b/>
        </w:rPr>
        <w:t xml:space="preserve">Title:</w:t>
      </w:r>
      <w:r>
        <w:t xml:space="preserve"> </w:t>
      </w:r>
      <w:r>
        <w:t xml:space="preserve">Senior Banker, Corporate Finance Division</w:t>
      </w:r>
    </w:p>
    <w:p>
      <w:pPr>
        <w:pStyle w:val="BodyText"/>
      </w:pPr>
      <w:r>
        <w:rPr>
          <w:bCs/>
          <w:b/>
        </w:rPr>
        <w:t xml:space="preserve">Address:</w:t>
      </w:r>
      <w:r>
        <w:t xml:space="preserve"> </w:t>
      </w:r>
      <w:r>
        <w:t xml:space="preserve">25th Street, Sanchaung Township, Yangon, Myanmar</w:t>
      </w:r>
    </w:p>
    <w:p>
      <w:pPr>
        <w:pStyle w:val="BodyText"/>
      </w:pPr>
      <w:r>
        <w:rPr>
          <w:bCs/>
          <w:b/>
        </w:rPr>
        <w:t xml:space="preserve">Tax Registration:</w:t>
      </w:r>
      <w:r>
        <w:t xml:space="preserve"> </w:t>
      </w:r>
      <w:r>
        <w:t xml:space="preserve">TRN-2024-8871234</w:t>
      </w:r>
    </w:p>
    <w:p>
      <w:pPr>
        <w:pStyle w:val="BodyText"/>
      </w:pPr>
      <w:r>
        <w:rPr>
          <w:bCs/>
          <w:b/>
        </w:rPr>
        <w:t xml:space="preserve">Bank Account:</w:t>
      </w:r>
      <w:r>
        <w:t xml:space="preserve"> </w:t>
      </w:r>
      <w:r>
        <w:t xml:space="preserve">CB Bank, Yangon Branch</w:t>
      </w:r>
    </w:p>
    <w:p>
      <w:pPr>
        <w:pStyle w:val="BodyText"/>
      </w:pPr>
      <w:r>
        <w:rPr>
          <w:bCs/>
          <w:b/>
        </w:rPr>
        <w:t xml:space="preserve">Account No:</w:t>
      </w:r>
      <w:r>
        <w:t xml:space="preserve"> </w:t>
      </w:r>
      <w:r>
        <w:t xml:space="preserve">001-234-567-8901</w:t>
      </w:r>
    </w:p>
    <w:bookmarkEnd w:id="22"/>
    <w:bookmarkStart w:id="23" w:name="client-bill-to"/>
    <w:p>
      <w:pPr>
        <w:pStyle w:val="Heading3"/>
      </w:pPr>
      <w:r>
        <w:t xml:space="preserve">Client / Bill To</w:t>
      </w:r>
    </w:p>
    <w:p>
      <w:pPr>
        <w:pStyle w:val="FirstParagraph"/>
      </w:pPr>
      <w:r>
        <w:rPr>
          <w:bCs/>
          <w:b/>
        </w:rPr>
        <w:t xml:space="preserve">Company:</w:t>
      </w:r>
      <w:r>
        <w:t xml:space="preserve"> </w:t>
      </w:r>
      <w:r>
        <w:t xml:space="preserve">Golden Pagoda Trading Co., Ltd.</w:t>
      </w:r>
    </w:p>
    <w:p>
      <w:pPr>
        <w:pStyle w:val="BodyText"/>
      </w:pPr>
      <w:r>
        <w:rPr>
          <w:bCs/>
          <w:b/>
        </w:rPr>
        <w:t xml:space="preserve">Attn:</w:t>
      </w:r>
      <w:r>
        <w:t xml:space="preserve"> </w:t>
      </w:r>
      <w:r>
        <w:t xml:space="preserve">Daw Thiri Win, Chief Financial Officer</w:t>
      </w:r>
    </w:p>
    <w:p>
      <w:pPr>
        <w:pStyle w:val="BodyText"/>
      </w:pPr>
      <w:r>
        <w:rPr>
          <w:bCs/>
          <w:b/>
        </w:rPr>
        <w:t xml:space="preserve">Address:</w:t>
      </w:r>
      <w:r>
        <w:t xml:space="preserve"> </w:t>
      </w:r>
      <w:r>
        <w:t xml:space="preserve">445 Anawrahta Road, Kyauktada Township, Yangon, Myanmar</w:t>
      </w:r>
    </w:p>
    <w:p>
      <w:pPr>
        <w:pStyle w:val="BodyText"/>
      </w:pPr>
      <w:r>
        <w:rPr>
          <w:bCs/>
          <w:b/>
        </w:rPr>
        <w:t xml:space="preserve">Tax Registration:</w:t>
      </w:r>
      <w:r>
        <w:t xml:space="preserve"> </w:t>
      </w:r>
      <w:r>
        <w:t xml:space="preserve">TRN-2023-5567891</w:t>
      </w:r>
    </w:p>
    <w:p>
      <w:pPr>
        <w:pStyle w:val="BodyText"/>
      </w:pPr>
      <w:r>
        <w:rPr>
          <w:bCs/>
          <w:b/>
        </w:rPr>
        <w:t xml:space="preserve">Contact:</w:t>
      </w:r>
      <w:r>
        <w:t xml:space="preserve"> </w:t>
      </w:r>
      <w:r>
        <w:t xml:space="preserve">+95-9-456-789-012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&amp; Financial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Corporate loan restructuring advisory and interest rate renegotiation with the Central Bank of Myanmar, conducted by the assigned Banker at the client's Yangon office.</w:t>
            </w:r>
          </w:p>
        </w:tc>
        <w:tc>
          <w:tcPr/>
          <w:p>
            <w:pPr>
              <w:pStyle w:val="Compact"/>
              <w:jc w:val="left"/>
            </w:pPr>
            <w:r>
              <w:t xml:space="preserve">Loan Advisory</w:t>
            </w:r>
          </w:p>
        </w:tc>
        <w:tc>
          <w:tcPr/>
          <w:p>
            <w:pPr>
              <w:pStyle w:val="Compact"/>
              <w:jc w:val="left"/>
            </w:pPr>
            <w:r>
              <w:t xml:space="preserve">12 hrs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Foreign exchange compliance review and currency conversion strategy for import-export operations, prepared by the Banker in accordance with Myanmar Foreign Exchange Management Law.</w:t>
            </w:r>
          </w:p>
        </w:tc>
        <w:tc>
          <w:tcPr/>
          <w:p>
            <w:pPr>
              <w:pStyle w:val="Compact"/>
              <w:jc w:val="left"/>
            </w:pPr>
            <w:r>
              <w:t xml:space="preserve">FX Compliance</w:t>
            </w:r>
          </w:p>
        </w:tc>
        <w:tc>
          <w:tcPr/>
          <w:p>
            <w:pPr>
              <w:pStyle w:val="Compact"/>
              <w:jc w:val="left"/>
            </w:pPr>
            <w:r>
              <w:t xml:space="preserve">8 hrs</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Quarterly treasury management report and cash flow forecasting for the fiscal quarter, delivered by the Banker to the client's board of directors in Yangon.</w:t>
            </w:r>
          </w:p>
        </w:tc>
        <w:tc>
          <w:tcPr/>
          <w:p>
            <w:pPr>
              <w:pStyle w:val="Compact"/>
              <w:jc w:val="left"/>
            </w:pPr>
            <w:r>
              <w:t xml:space="preserve">Treasury Mgmt</w:t>
            </w:r>
          </w:p>
        </w:tc>
        <w:tc>
          <w:tcPr/>
          <w:p>
            <w:pPr>
              <w:pStyle w:val="Compact"/>
              <w:jc w:val="left"/>
            </w:pPr>
            <w:r>
              <w:t xml:space="preserve">10 hrs</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Trade finance documentation review including letters of credit, bank guarantees, and documentary collections processed through Yangon-based commercial banks.</w:t>
            </w:r>
          </w:p>
        </w:tc>
        <w:tc>
          <w:tcPr/>
          <w:p>
            <w:pPr>
              <w:pStyle w:val="Compact"/>
              <w:jc w:val="left"/>
            </w:pPr>
            <w:r>
              <w:t xml:space="preserve">Trade Finance</w:t>
            </w:r>
          </w:p>
        </w:tc>
        <w:tc>
          <w:tcPr/>
          <w:p>
            <w:pPr>
              <w:pStyle w:val="Compact"/>
              <w:jc w:val="left"/>
            </w:pPr>
            <w:r>
              <w:t xml:space="preserve">6 hrs</w:t>
            </w:r>
          </w:p>
        </w:tc>
        <w:tc>
          <w:tcPr/>
          <w:p>
            <w:pPr>
              <w:pStyle w:val="Compact"/>
              <w:jc w:val="left"/>
            </w:pPr>
            <w:r>
              <w:t xml:space="preserve">52,000</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Regulatory compliance audit preparation and liaison with the Securities and Exchange Commission of Myanmar (SECM) on behalf of the client, managed by the Banker.</w:t>
            </w:r>
          </w:p>
        </w:tc>
        <w:tc>
          <w:tcPr/>
          <w:p>
            <w:pPr>
              <w:pStyle w:val="Compact"/>
              <w:jc w:val="left"/>
            </w:pPr>
            <w:r>
              <w:t xml:space="preserve">Compliance</w:t>
            </w:r>
          </w:p>
        </w:tc>
        <w:tc>
          <w:tcPr/>
          <w:p>
            <w:pPr>
              <w:pStyle w:val="Compact"/>
              <w:jc w:val="left"/>
            </w:pPr>
            <w:r>
              <w:t xml:space="preserve">14 hrs</w:t>
            </w:r>
          </w:p>
        </w:tc>
        <w:tc>
          <w:tcPr/>
          <w:p>
            <w:pPr>
              <w:pStyle w:val="Compact"/>
              <w:jc w:val="left"/>
            </w:pPr>
            <w:r>
              <w:t xml:space="preserve">42,000</w:t>
            </w:r>
          </w:p>
        </w:tc>
        <w:tc>
          <w:tcPr/>
          <w:p>
            <w:pPr>
              <w:pStyle w:val="Compact"/>
              <w:jc w:val="left"/>
            </w:pPr>
            <w:r>
              <w:t xml:space="preserve">588,000</w:t>
            </w:r>
          </w:p>
        </w:tc>
      </w:tr>
      <w:tr>
        <w:tc>
          <w:tcPr/>
          <w:p>
            <w:pPr>
              <w:pStyle w:val="Compact"/>
              <w:jc w:val="left"/>
            </w:pPr>
            <w:r>
              <w:t xml:space="preserve">6</w:t>
            </w:r>
          </w:p>
        </w:tc>
        <w:tc>
          <w:tcPr/>
          <w:p>
            <w:pPr>
              <w:pStyle w:val="Compact"/>
              <w:jc w:val="left"/>
            </w:pPr>
            <w:r>
              <w:t xml:space="preserve">On-site banking relationship management and negotiation of preferential deposit rates with three commercial banks in Yangon, facilitated by the Banker.</w:t>
            </w:r>
          </w:p>
        </w:tc>
        <w:tc>
          <w:tcPr/>
          <w:p>
            <w:pPr>
              <w:pStyle w:val="Compact"/>
              <w:jc w:val="left"/>
            </w:pPr>
            <w:r>
              <w:t xml:space="preserve">Bank Relations</w:t>
            </w:r>
          </w:p>
        </w:tc>
        <w:tc>
          <w:tcPr/>
          <w:p>
            <w:pPr>
              <w:pStyle w:val="Compact"/>
              <w:jc w:val="left"/>
            </w:pPr>
            <w:r>
              <w:t xml:space="preserve">5 hrs</w:t>
            </w:r>
          </w:p>
        </w:tc>
        <w:tc>
          <w:tcPr/>
          <w:p>
            <w:pPr>
              <w:pStyle w:val="Compact"/>
              <w:jc w:val="left"/>
            </w:pPr>
            <w:r>
              <w:t xml:space="preserve">55,000</w:t>
            </w:r>
          </w:p>
        </w:tc>
        <w:tc>
          <w:tcPr/>
          <w:p>
            <w:pPr>
              <w:pStyle w:val="Compact"/>
              <w:jc w:val="left"/>
            </w:pPr>
            <w:r>
              <w:t xml:space="preserve">275,000</w:t>
            </w:r>
          </w:p>
        </w:tc>
      </w:tr>
      <w:tr>
        <w:tc>
          <w:tcPr/>
          <w:p>
            <w:pPr>
              <w:pStyle w:val="Compact"/>
              <w:jc w:val="left"/>
            </w:pPr>
            <w:r>
              <w:t xml:space="preserve">7</w:t>
            </w:r>
          </w:p>
        </w:tc>
        <w:tc>
          <w:tcPr/>
          <w:p>
            <w:pPr>
              <w:pStyle w:val="Compact"/>
              <w:jc w:val="left"/>
            </w:pPr>
            <w:r>
              <w:t xml:space="preserve">Preparation of the annual banking facility utilization report and presentation to the client's shareholders at their registered office in Yangon, Myanmar.</w:t>
            </w:r>
          </w:p>
        </w:tc>
        <w:tc>
          <w:tcPr/>
          <w:p>
            <w:pPr>
              <w:pStyle w:val="Compact"/>
              <w:jc w:val="left"/>
            </w:pPr>
            <w:r>
              <w:t xml:space="preserve">Reporting</w:t>
            </w:r>
          </w:p>
        </w:tc>
        <w:tc>
          <w:tcPr/>
          <w:p>
            <w:pPr>
              <w:pStyle w:val="Compact"/>
              <w:jc w:val="left"/>
            </w:pPr>
            <w:r>
              <w:t xml:space="preserve">4 hrs</w:t>
            </w:r>
          </w:p>
        </w:tc>
        <w:tc>
          <w:tcPr/>
          <w:p>
            <w:pPr>
              <w:pStyle w:val="Compact"/>
              <w:jc w:val="left"/>
            </w:pPr>
            <w:r>
              <w:t xml:space="preserve">40,000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2,755,000 MMK</w:t>
            </w:r>
          </w:p>
        </w:tc>
      </w:tr>
      <w:tr>
        <w:tc>
          <w:tcPr/>
          <w:p>
            <w:pPr>
              <w:pStyle w:val="Compact"/>
              <w:jc w:val="left"/>
            </w:pPr>
            <w:r>
              <w:t xml:space="preserve">VAT (5%)</w:t>
            </w:r>
          </w:p>
        </w:tc>
        <w:tc>
          <w:tcPr/>
          <w:p>
            <w:pPr>
              <w:pStyle w:val="Compact"/>
              <w:jc w:val="left"/>
            </w:pPr>
            <w:r>
              <w:t xml:space="preserve">137,750 MMK</w:t>
            </w:r>
          </w:p>
        </w:tc>
      </w:tr>
      <w:tr>
        <w:tc>
          <w:tcPr/>
          <w:p>
            <w:pPr>
              <w:pStyle w:val="Compact"/>
              <w:jc w:val="left"/>
            </w:pPr>
            <w:r>
              <w:t xml:space="preserve">Service Tax (2%)</w:t>
            </w:r>
          </w:p>
        </w:tc>
        <w:tc>
          <w:tcPr/>
          <w:p>
            <w:pPr>
              <w:pStyle w:val="Compact"/>
              <w:jc w:val="left"/>
            </w:pPr>
            <w:r>
              <w:t xml:space="preserve">55,100 MMK</w:t>
            </w:r>
          </w:p>
        </w:tc>
      </w:tr>
      <w:tr>
        <w:tc>
          <w:tcPr/>
          <w:p>
            <w:pPr>
              <w:pStyle w:val="Compact"/>
              <w:jc w:val="left"/>
            </w:pPr>
            <w:r>
              <w:t xml:space="preserve">Discount (Early Payment – 2%)</w:t>
            </w:r>
          </w:p>
        </w:tc>
        <w:tc>
          <w:tcPr/>
          <w:p>
            <w:pPr>
              <w:pStyle w:val="Compact"/>
              <w:jc w:val="left"/>
            </w:pPr>
            <w:r>
              <w:t xml:space="preserve">(55,100) MMK</w:t>
            </w:r>
          </w:p>
        </w:tc>
      </w:tr>
      <w:tr>
        <w:tc>
          <w:tcPr/>
          <w:p>
            <w:pPr>
              <w:pStyle w:val="Compact"/>
              <w:jc w:val="left"/>
            </w:pPr>
            <w:r>
              <w:t xml:space="preserve">Grand Total Due</w:t>
            </w:r>
          </w:p>
        </w:tc>
        <w:tc>
          <w:tcPr/>
          <w:p>
            <w:pPr>
              <w:pStyle w:val="Compact"/>
              <w:jc w:val="left"/>
            </w:pPr>
            <w:r>
              <w:t xml:space="preserve">2,892,750 MMK</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no later than 30 June 2025. Payment shall be made in Myanmar Kyat (MMK) via bank transfer to the Banker's designated account at CB Bank, Yangon Main Branch, as stated above. The Banker reserves the right to suspend all ongoing financial advisory services in Myanmar Yangon should payment remain outstanding beyond the due date. A late payment surcharge of 1.5% per month will be applied to any overdue balance in accordance with the Master Service Agreement dated 01 January 2025. All payments are subject to the prevailing tax regulations of the Republic of the Union of Myanmar.</w:t>
      </w:r>
    </w:p>
    <w:bookmarkEnd w:id="24"/>
    <w:bookmarkStart w:id="25" w:name="notes-important-information"/>
    <w:p>
      <w:pPr>
        <w:pStyle w:val="Heading3"/>
      </w:pPr>
      <w:r>
        <w:t xml:space="preserve">Notes &amp; Important Information</w:t>
      </w:r>
    </w:p>
    <w:p>
      <w:pPr>
        <w:pStyle w:val="FirstParagraph"/>
      </w:pPr>
      <w:r>
        <w:t xml:space="preserve">1. This Invoice has been prepared and issued by a licensed Banker operating under the regulatory framework of the Central Bank of Myanmar and the Ministry of Commerce, Republic of the Union of Myanmar.</w:t>
      </w:r>
    </w:p>
    <w:p>
      <w:pPr>
        <w:pStyle w:val="BodyText"/>
      </w:pPr>
      <w:r>
        <w:t xml:space="preserve">2. All services described herein were rendered in the city of Yangon, Myanmar, and are governed by the laws of Myanmar. Any disputes arising from this Invoice shall be resolved through the Yangon District Court or by arbitration under the Myanmar Arbitration Law.</w:t>
      </w:r>
    </w:p>
    <w:p>
      <w:pPr>
        <w:pStyle w:val="BodyText"/>
      </w:pPr>
      <w:r>
        <w:t xml:space="preserve">3. The Banker confirms that all financial data, client information, and transaction details contained in this Invoice are treated as strictly confidential in accordance with the Myanmar Data Protection Law and professional banking ethics.</w:t>
      </w:r>
    </w:p>
    <w:p>
      <w:pPr>
        <w:pStyle w:val="BodyText"/>
      </w:pPr>
      <w:r>
        <w:t xml:space="preserve">4. Please retain this Invoice for your corporate tax filing with the Inland Revenue Department, Yangon Regional Office. A duplicate copy may be requested from the Banker's office within ninety (90) days of the issue date.</w:t>
      </w:r>
    </w:p>
    <w:p>
      <w:pPr>
        <w:pStyle w:val="BodyText"/>
      </w:pPr>
      <w:r>
        <w:t xml:space="preserve">5. This Invoice does not constitute a guarantee of financial returns. All advisory opinions provided by the Banker are based on information available at the time of service delivery in Myanmar Yangon.</w:t>
      </w:r>
    </w:p>
    <w:bookmarkEnd w:id="25"/>
    <w:p>
      <w:pPr>
        <w:pStyle w:val="BodyText"/>
      </w:pPr>
      <w:r>
        <w:rPr>
          <w:bCs/>
          <w:b/>
        </w:rPr>
        <w:t xml:space="preserve">U Kyaw Min Aung</w:t>
      </w:r>
      <w:r>
        <w:br/>
      </w:r>
      <w:r>
        <w:t xml:space="preserve">Senior Banker / Authorized Signatory</w:t>
      </w:r>
      <w:r>
        <w:br/>
      </w:r>
      <w:r>
        <w:t xml:space="preserve">U Kyaw Min Financial Advisory, Yangon</w:t>
      </w:r>
    </w:p>
    <w:p>
      <w:pPr>
        <w:pStyle w:val="BodyText"/>
      </w:pPr>
      <w:r>
        <w:rPr>
          <w:bCs/>
          <w:b/>
        </w:rPr>
        <w:t xml:space="preserve">Daw Thiri Win</w:t>
      </w:r>
      <w:r>
        <w:br/>
      </w:r>
      <w:r>
        <w:t xml:space="preserve">Chief Financial Officer</w:t>
      </w:r>
      <w:r>
        <w:br/>
      </w:r>
      <w:r>
        <w:t xml:space="preserve">Golden Pagoda Trading Co., Ltd., Yangon</w:t>
      </w:r>
    </w:p>
    <w:p>
      <w:pPr>
        <w:pStyle w:val="BodyText"/>
      </w:pPr>
      <w:r>
        <w:rPr>
          <w:bCs/>
          <w:b/>
        </w:rPr>
        <w:t xml:space="preserve">U Kyaw Min Financial Advisory</w:t>
      </w:r>
      <w:r>
        <w:t xml:space="preserve"> </w:t>
      </w:r>
      <w:r>
        <w:t xml:space="preserve">| Licensed Banker Services | Yangon, Myanmar</w:t>
      </w:r>
    </w:p>
    <w:p>
      <w:pPr>
        <w:pStyle w:val="BodyText"/>
      </w:pPr>
      <w:r>
        <w:t xml:space="preserve">25th Street, Sanchaung Township, Yangon 11151, Republic of the Union of Myanmar</w:t>
      </w:r>
    </w:p>
    <w:p>
      <w:pPr>
        <w:pStyle w:val="BodyText"/>
      </w:pPr>
      <w:r>
        <w:t xml:space="preserve">Tel: +95-9-795-123-456 | Email: u.kyawmin@bankeryangon.mm | Banker License: MY-BNK-2024-00871</w:t>
      </w:r>
    </w:p>
    <w:p>
      <w:pPr>
        <w:pStyle w:val="BodyText"/>
      </w:pPr>
      <w:r>
        <w:t xml:space="preserve">This Invoice is valid for a period of 90 days from the date of issue. Thank you for your business. We look forward to continuing our banking and financial partnership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Myanmar Yangon</dc:title>
  <dc:creator/>
  <dc:language>en</dc:language>
  <cp:keywords/>
  <dcterms:created xsi:type="dcterms:W3CDTF">2026-10-10T06:42:21Z</dcterms:created>
  <dcterms:modified xsi:type="dcterms:W3CDTF">2026-10-10T06:42:21Z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