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Auckland,</w:t>
      </w:r>
      <w:r>
        <w:t xml:space="preserve"> </w:t>
      </w:r>
      <w:r>
        <w:t xml:space="preserve">New</w:t>
      </w:r>
      <w:r>
        <w:t xml:space="preserve"> </w:t>
      </w:r>
      <w:r>
        <w:t xml:space="preserve">Zealand</w:t>
      </w:r>
    </w:p>
    <w:p>
      <w:pPr>
        <w:pStyle w:val="FirstParagraph"/>
      </w:pPr>
      <w:r>
        <w:t xml:space="preserve">INVOICE</w:t>
      </w:r>
    </w:p>
    <w:p>
      <w:pPr>
        <w:pStyle w:val="BodyText"/>
      </w:pPr>
      <w:r>
        <w:t xml:space="preserve">Banking &amp; Financial Advisory Services</w:t>
      </w:r>
    </w:p>
    <w:p>
      <w:pPr>
        <w:pStyle w:val="BodyText"/>
      </w:pPr>
      <w:r>
        <w:t xml:space="preserve">Auckland, New Zealand</w:t>
      </w:r>
    </w:p>
    <w:bookmarkStart w:id="20" w:name="invoice-number"/>
    <w:p>
      <w:pPr>
        <w:pStyle w:val="Heading3"/>
      </w:pPr>
      <w:r>
        <w:t xml:space="preserve">Invoice Number:</w:t>
      </w:r>
    </w:p>
    <w:p>
      <w:pPr>
        <w:pStyle w:val="FirstParagraph"/>
      </w:pPr>
      <w:r>
        <w:t xml:space="preserve">INV-AKL-2025-04872</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banker-service-provider"/>
    <w:p>
      <w:pPr>
        <w:pStyle w:val="Heading4"/>
      </w:pPr>
      <w:r>
        <w:t xml:space="preserve">Banker / Service Provider</w:t>
      </w:r>
    </w:p>
    <w:p>
      <w:pPr>
        <w:pStyle w:val="FirstParagraph"/>
      </w:pPr>
      <w:r>
        <w:rPr>
          <w:bCs/>
          <w:b/>
        </w:rPr>
        <w:t xml:space="preserve">Harbourview Banking &amp; Financial Services Ltd.</w:t>
      </w:r>
    </w:p>
    <w:p>
      <w:pPr>
        <w:pStyle w:val="BodyText"/>
      </w:pPr>
      <w:r>
        <w:t xml:space="preserve">Level 12, 100 Queen Street</w:t>
      </w:r>
    </w:p>
    <w:p>
      <w:pPr>
        <w:pStyle w:val="BodyText"/>
      </w:pPr>
      <w:r>
        <w:t xml:space="preserve">Auckland CBD, Auckland 1010</w:t>
      </w:r>
    </w:p>
    <w:p>
      <w:pPr>
        <w:pStyle w:val="BodyText"/>
      </w:pPr>
      <w:r>
        <w:t xml:space="preserve">New Zealand</w:t>
      </w:r>
    </w:p>
    <w:p>
      <w:pPr>
        <w:pStyle w:val="BodyText"/>
      </w:pPr>
      <w:r>
        <w:t xml:space="preserve">Phone: +64 9 376 4521</w:t>
      </w:r>
    </w:p>
    <w:p>
      <w:pPr>
        <w:pStyle w:val="BodyText"/>
      </w:pPr>
      <w:r>
        <w:t xml:space="preserve">Email: billing@harbourviewbank.co.nz</w:t>
      </w:r>
    </w:p>
    <w:p>
      <w:pPr>
        <w:pStyle w:val="BodyText"/>
      </w:pPr>
      <w:r>
        <w:t xml:space="preserve">BNZ: 01-0502-0345678-00</w:t>
      </w:r>
    </w:p>
    <w:p>
      <w:pPr>
        <w:pStyle w:val="BodyText"/>
      </w:pPr>
      <w:r>
        <w:t xml:space="preserve">IRD Number: 942-887-654</w:t>
      </w:r>
    </w:p>
    <w:bookmarkEnd w:id="24"/>
    <w:bookmarkStart w:id="25" w:name="billed-to-client"/>
    <w:p>
      <w:pPr>
        <w:pStyle w:val="Heading4"/>
      </w:pPr>
      <w:r>
        <w:t xml:space="preserve">Billed To / Client</w:t>
      </w:r>
    </w:p>
    <w:p>
      <w:pPr>
        <w:pStyle w:val="FirstParagraph"/>
      </w:pPr>
      <w:r>
        <w:rPr>
          <w:bCs/>
          <w:b/>
        </w:rPr>
        <w:t xml:space="preserve">Meridian Property Holdings (NZ) Ltd.</w:t>
      </w:r>
    </w:p>
    <w:p>
      <w:pPr>
        <w:pStyle w:val="BodyText"/>
      </w:pPr>
      <w:r>
        <w:t xml:space="preserve">Suite 5, 255 Victoria Street</w:t>
      </w:r>
    </w:p>
    <w:p>
      <w:pPr>
        <w:pStyle w:val="BodyText"/>
      </w:pPr>
      <w:r>
        <w:t xml:space="preserve">Ponsonby, Auckland 1011</w:t>
      </w:r>
    </w:p>
    <w:p>
      <w:pPr>
        <w:pStyle w:val="BodyText"/>
      </w:pPr>
      <w:r>
        <w:t xml:space="preserve">New Zealand</w:t>
      </w:r>
    </w:p>
    <w:p>
      <w:pPr>
        <w:pStyle w:val="BodyText"/>
      </w:pPr>
      <w:r>
        <w:t xml:space="preserve">Phone: +64 9 379 8834</w:t>
      </w:r>
    </w:p>
    <w:p>
      <w:pPr>
        <w:pStyle w:val="BodyText"/>
      </w:pPr>
      <w:r>
        <w:t xml:space="preserve">Email: accounts@meridianprop.co.nz</w:t>
      </w:r>
    </w:p>
    <w:p>
      <w:pPr>
        <w:pStyle w:val="BodyText"/>
      </w:pPr>
      <w:r>
        <w:t xml:space="preserve">Company No.: 7654321</w:t>
      </w:r>
    </w:p>
    <w:bookmarkEnd w:id="25"/>
    <w:p>
      <w:pPr>
        <w:pStyle w:val="BodyText"/>
      </w:pPr>
      <w:r>
        <w:t xml:space="preserve">Description of Banking Services Rendered</w:t>
      </w:r>
    </w:p>
    <w:p>
      <w:pPr>
        <w:pStyle w:val="BodyText"/>
      </w:pPr>
      <w:r>
        <w:t xml:space="preserve">This invoice is issued by the undersigned Banker, operating in full compliance with the Financial Markets Conduct Act 2013 and the regulations set forth by the Financial Markets Authority (FMA) of New Zealand. The following banking and financial advisory services were rendered to the client during the billing period of 1 June 2025 to 15 June 2025, within the Auckland metropolitan region of New Zealand.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Corporate banking account management and transaction oversight for Meridian Property Holdings, including daily reconciliation of all Auckland-based commercial accounts and inter-branch transfers within New Zealand.</w:t>
            </w:r>
          </w:p>
        </w:tc>
        <w:tc>
          <w:tcPr/>
          <w:p>
            <w:pPr>
              <w:pStyle w:val="Compact"/>
              <w:jc w:val="left"/>
            </w:pPr>
            <w:r>
              <w:t xml:space="preserve">02 Jun 2025</w:t>
            </w:r>
          </w:p>
        </w:tc>
        <w:tc>
          <w:tcPr/>
          <w:p>
            <w:pPr>
              <w:pStyle w:val="Compact"/>
              <w:jc w:val="left"/>
            </w:pPr>
            <w:r>
              <w:t xml:space="preserve">185.00</w:t>
            </w:r>
          </w:p>
        </w:tc>
        <w:tc>
          <w:tcPr/>
          <w:p>
            <w:pPr>
              <w:pStyle w:val="Compact"/>
              <w:jc w:val="left"/>
            </w:pPr>
            <w:r>
              <w:t xml:space="preserve">6.0</w:t>
            </w:r>
          </w:p>
        </w:tc>
        <w:tc>
          <w:tcPr/>
          <w:p>
            <w:pPr>
              <w:pStyle w:val="Compact"/>
              <w:jc w:val="left"/>
            </w:pPr>
            <w:r>
              <w:t xml:space="preserve">1,110.00</w:t>
            </w:r>
          </w:p>
        </w:tc>
      </w:tr>
      <w:tr>
        <w:tc>
          <w:tcPr/>
          <w:p>
            <w:pPr>
              <w:pStyle w:val="Compact"/>
              <w:jc w:val="left"/>
            </w:pPr>
            <w:r>
              <w:t xml:space="preserve">02</w:t>
            </w:r>
          </w:p>
        </w:tc>
        <w:tc>
          <w:tcPr/>
          <w:p>
            <w:pPr>
              <w:pStyle w:val="Compact"/>
              <w:jc w:val="left"/>
            </w:pPr>
            <w:r>
              <w:t xml:space="preserve">Advisory services on commercial property financing structures, including interest rate hedging strategies and fixed-rate loan refinancing options available through the Banker's Auckland branch network.</w:t>
            </w:r>
          </w:p>
        </w:tc>
        <w:tc>
          <w:tcPr/>
          <w:p>
            <w:pPr>
              <w:pStyle w:val="Compact"/>
              <w:jc w:val="left"/>
            </w:pPr>
            <w:r>
              <w:t xml:space="preserve">04 Jun 2025</w:t>
            </w:r>
          </w:p>
        </w:tc>
        <w:tc>
          <w:tcPr/>
          <w:p>
            <w:pPr>
              <w:pStyle w:val="Compact"/>
              <w:jc w:val="left"/>
            </w:pPr>
            <w:r>
              <w:t xml:space="preserve">220.00</w:t>
            </w:r>
          </w:p>
        </w:tc>
        <w:tc>
          <w:tcPr/>
          <w:p>
            <w:pPr>
              <w:pStyle w:val="Compact"/>
              <w:jc w:val="left"/>
            </w:pPr>
            <w:r>
              <w:t xml:space="preserve">4.5</w:t>
            </w:r>
          </w:p>
        </w:tc>
        <w:tc>
          <w:tcPr/>
          <w:p>
            <w:pPr>
              <w:pStyle w:val="Compact"/>
              <w:jc w:val="left"/>
            </w:pPr>
            <w:r>
              <w:t xml:space="preserve">990.00</w:t>
            </w:r>
          </w:p>
        </w:tc>
      </w:tr>
      <w:tr>
        <w:tc>
          <w:tcPr/>
          <w:p>
            <w:pPr>
              <w:pStyle w:val="Compact"/>
              <w:jc w:val="left"/>
            </w:pPr>
            <w:r>
              <w:t xml:space="preserve">03</w:t>
            </w:r>
          </w:p>
        </w:tc>
        <w:tc>
          <w:tcPr/>
          <w:p>
            <w:pPr>
              <w:pStyle w:val="Compact"/>
              <w:jc w:val="left"/>
            </w:pPr>
            <w:r>
              <w:t xml:space="preserve">Preparation and submission of quarterly compliance reports to the Financial Markets Authority (FMA) on behalf of the client, ensuring adherence to all New Zealand banking regulations and anti-money laundering (AML) obligations under the AML/CFT Act 2009.</w:t>
            </w:r>
          </w:p>
        </w:tc>
        <w:tc>
          <w:tcPr/>
          <w:p>
            <w:pPr>
              <w:pStyle w:val="Compact"/>
              <w:jc w:val="left"/>
            </w:pPr>
            <w:r>
              <w:t xml:space="preserve">06 Jun 2025</w:t>
            </w:r>
          </w:p>
        </w:tc>
        <w:tc>
          <w:tcPr/>
          <w:p>
            <w:pPr>
              <w:pStyle w:val="Compact"/>
              <w:jc w:val="left"/>
            </w:pPr>
            <w:r>
              <w:t xml:space="preserve">195.00</w:t>
            </w:r>
          </w:p>
        </w:tc>
        <w:tc>
          <w:tcPr/>
          <w:p>
            <w:pPr>
              <w:pStyle w:val="Compact"/>
              <w:jc w:val="left"/>
            </w:pPr>
            <w:r>
              <w:t xml:space="preserve">5.0</w:t>
            </w:r>
          </w:p>
        </w:tc>
        <w:tc>
          <w:tcPr/>
          <w:p>
            <w:pPr>
              <w:pStyle w:val="Compact"/>
              <w:jc w:val="left"/>
            </w:pPr>
            <w:r>
              <w:t xml:space="preserve">975.00</w:t>
            </w:r>
          </w:p>
        </w:tc>
      </w:tr>
      <w:tr>
        <w:tc>
          <w:tcPr/>
          <w:p>
            <w:pPr>
              <w:pStyle w:val="Compact"/>
              <w:jc w:val="left"/>
            </w:pPr>
            <w:r>
              <w:t xml:space="preserve">04</w:t>
            </w:r>
          </w:p>
        </w:tc>
        <w:tc>
          <w:tcPr/>
          <w:p>
            <w:pPr>
              <w:pStyle w:val="Compact"/>
              <w:jc w:val="left"/>
            </w:pPr>
            <w:r>
              <w:t xml:space="preserve">Foreign exchange advisory and currency risk management consultation for the client's international property acquisitions, including NZD/USD and NZD/AUD hedging arrangements facilitated through the Banker's global trading desk in Auckland.</w:t>
            </w:r>
          </w:p>
        </w:tc>
        <w:tc>
          <w:tcPr/>
          <w:p>
            <w:pPr>
              <w:pStyle w:val="Compact"/>
              <w:jc w:val="left"/>
            </w:pPr>
            <w:r>
              <w:t xml:space="preserve">09 Jun 2025</w:t>
            </w:r>
          </w:p>
        </w:tc>
        <w:tc>
          <w:tcPr/>
          <w:p>
            <w:pPr>
              <w:pStyle w:val="Compact"/>
              <w:jc w:val="left"/>
            </w:pPr>
            <w:r>
              <w:t xml:space="preserve">210.00</w:t>
            </w:r>
          </w:p>
        </w:tc>
        <w:tc>
          <w:tcPr/>
          <w:p>
            <w:pPr>
              <w:pStyle w:val="Compact"/>
              <w:jc w:val="left"/>
            </w:pPr>
            <w:r>
              <w:t xml:space="preserve">3.5</w:t>
            </w:r>
          </w:p>
        </w:tc>
        <w:tc>
          <w:tcPr/>
          <w:p>
            <w:pPr>
              <w:pStyle w:val="Compact"/>
              <w:jc w:val="left"/>
            </w:pPr>
            <w:r>
              <w:t xml:space="preserve">735.00</w:t>
            </w:r>
          </w:p>
        </w:tc>
      </w:tr>
      <w:tr>
        <w:tc>
          <w:tcPr/>
          <w:p>
            <w:pPr>
              <w:pStyle w:val="Compact"/>
              <w:jc w:val="left"/>
            </w:pPr>
            <w:r>
              <w:t xml:space="preserve">05</w:t>
            </w:r>
          </w:p>
        </w:tc>
        <w:tc>
          <w:tcPr/>
          <w:p>
            <w:pPr>
              <w:pStyle w:val="Compact"/>
              <w:jc w:val="left"/>
            </w:pPr>
            <w:r>
              <w:t xml:space="preserve">On-site meeting at the client's Ponsonby office in Auckland to review cash flow projections, treasury management strategies, and to discuss upcoming capital expenditure plans for the 2025/2026 fiscal year in New Zealand.</w:t>
            </w:r>
          </w:p>
        </w:tc>
        <w:tc>
          <w:tcPr/>
          <w:p>
            <w:pPr>
              <w:pStyle w:val="Compact"/>
              <w:jc w:val="left"/>
            </w:pPr>
            <w:r>
              <w:t xml:space="preserve">11 Jun 2025</w:t>
            </w:r>
          </w:p>
        </w:tc>
        <w:tc>
          <w:tcPr/>
          <w:p>
            <w:pPr>
              <w:pStyle w:val="Compact"/>
              <w:jc w:val="left"/>
            </w:pPr>
            <w:r>
              <w:t xml:space="preserve">240.00</w:t>
            </w:r>
          </w:p>
        </w:tc>
        <w:tc>
          <w:tcPr/>
          <w:p>
            <w:pPr>
              <w:pStyle w:val="Compact"/>
              <w:jc w:val="left"/>
            </w:pPr>
            <w:r>
              <w:t xml:space="preserve">3.0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Setup and configuration of automated payroll disbursement systems for the client's 120 employees across three Auckland locations, including integration with the Banker's secure online banking platform and multi-factor authentication protocols.</w:t>
            </w:r>
          </w:p>
        </w:tc>
        <w:tc>
          <w:tcPr/>
          <w:p>
            <w:pPr>
              <w:pStyle w:val="Compact"/>
              <w:jc w:val="left"/>
            </w:pPr>
            <w:r>
              <w:t xml:space="preserve">13 Jun 2025</w:t>
            </w:r>
          </w:p>
        </w:tc>
        <w:tc>
          <w:tcPr/>
          <w:p>
            <w:pPr>
              <w:pStyle w:val="Compact"/>
              <w:jc w:val="left"/>
            </w:pPr>
            <w:r>
              <w:t xml:space="preserve">175.00</w:t>
            </w:r>
          </w:p>
        </w:tc>
        <w:tc>
          <w:tcPr/>
          <w:p>
            <w:pPr>
              <w:pStyle w:val="Compact"/>
              <w:jc w:val="left"/>
            </w:pPr>
            <w:r>
              <w:t xml:space="preserve">8.0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Annual review of the client's corporate credit facility, including stress testing of loan covenants, review of security packages over Auckland commercial real estate, and negotiation of revised terms with the lending committee.</w:t>
            </w:r>
          </w:p>
        </w:tc>
        <w:tc>
          <w:tcPr/>
          <w:p>
            <w:pPr>
              <w:pStyle w:val="Compact"/>
              <w:jc w:val="left"/>
            </w:pPr>
            <w:r>
              <w:t xml:space="preserve">14 Jun 2025</w:t>
            </w:r>
          </w:p>
        </w:tc>
        <w:tc>
          <w:tcPr/>
          <w:p>
            <w:pPr>
              <w:pStyle w:val="Compact"/>
              <w:jc w:val="left"/>
            </w:pPr>
            <w:r>
              <w:t xml:space="preserve">230.00</w:t>
            </w:r>
          </w:p>
        </w:tc>
        <w:tc>
          <w:tcPr/>
          <w:p>
            <w:pPr>
              <w:pStyle w:val="Compact"/>
              <w:jc w:val="left"/>
            </w:pPr>
            <w:r>
              <w:t xml:space="preserve">4.0</w:t>
            </w:r>
          </w:p>
        </w:tc>
        <w:tc>
          <w:tcPr/>
          <w:p>
            <w:pPr>
              <w:pStyle w:val="Compact"/>
              <w:jc w:val="left"/>
            </w:pPr>
            <w:r>
              <w:t xml:space="preserve">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NZD 6,850.00</w:t>
            </w:r>
          </w:p>
        </w:tc>
      </w:tr>
      <w:tr>
        <w:tc>
          <w:tcPr/>
          <w:p>
            <w:pPr>
              <w:pStyle w:val="Compact"/>
              <w:jc w:val="left"/>
            </w:pPr>
            <w:r>
              <w:t xml:space="preserve">GST (15%)</w:t>
            </w:r>
          </w:p>
        </w:tc>
        <w:tc>
          <w:tcPr/>
          <w:p>
            <w:pPr>
              <w:pStyle w:val="Compact"/>
              <w:jc w:val="left"/>
            </w:pPr>
            <w:r>
              <w:t xml:space="preserve">NZD 1,027.50</w:t>
            </w:r>
          </w:p>
        </w:tc>
      </w:tr>
      <w:tr>
        <w:tc>
          <w:tcPr/>
          <w:p>
            <w:pPr>
              <w:pStyle w:val="Compact"/>
              <w:jc w:val="left"/>
            </w:pPr>
            <w:r>
              <w:t xml:space="preserve">Banker's Administrative Fee</w:t>
            </w:r>
          </w:p>
        </w:tc>
        <w:tc>
          <w:tcPr/>
          <w:p>
            <w:pPr>
              <w:pStyle w:val="Compact"/>
              <w:jc w:val="left"/>
            </w:pPr>
            <w:r>
              <w:t xml:space="preserve">NZD 150.00</w:t>
            </w:r>
          </w:p>
        </w:tc>
      </w:tr>
      <w:tr>
        <w:tc>
          <w:tcPr/>
          <w:p>
            <w:pPr>
              <w:pStyle w:val="Compact"/>
              <w:jc w:val="left"/>
            </w:pPr>
            <w:r>
              <w:t xml:space="preserve">Grand Total</w:t>
            </w:r>
          </w:p>
        </w:tc>
        <w:tc>
          <w:tcPr/>
          <w:p>
            <w:pPr>
              <w:pStyle w:val="Compact"/>
              <w:jc w:val="left"/>
            </w:pPr>
            <w:r>
              <w:t xml:space="preserve">NZD 8,027.50</w:t>
            </w:r>
          </w:p>
        </w:tc>
      </w:tr>
    </w:tbl>
    <w:p>
      <w:pPr>
        <w:pStyle w:val="BodyText"/>
      </w:pPr>
      <w:r>
        <w:t xml:space="preserve">Payment Instructions</w:t>
      </w:r>
    </w:p>
    <w:p>
      <w:pPr>
        <w:pStyle w:val="BodyText"/>
      </w:pPr>
      <w:r>
        <w:t xml:space="preserve">Please remit payment of</w:t>
      </w:r>
      <w:r>
        <w:t xml:space="preserve"> </w:t>
      </w:r>
      <w:r>
        <w:rPr>
          <w:bCs/>
          <w:b/>
        </w:rPr>
        <w:t xml:space="preserve">NZD 8,027.50</w:t>
      </w:r>
      <w:r>
        <w:t xml:space="preserve"> </w:t>
      </w:r>
      <w:r>
        <w:t xml:space="preserve">within thirty (30) calendar days of the issue date of this invoice. Payment may be made via electronic funds transfer (EFT) to the Banker's designated collection account held at Harbourview Banking &amp; Financial Services Ltd., Auckland, New Zealand. Account details: Bank: Harbourview Banking &amp; Financial Services Ltd. | Branch: Auckland CBD (01-0502) | Account Number: 0345678-00 | Reference: INV-AKL-2025-04872. All payments are to be made in New Zealand Dollars (NZD). Please note that late payments may incur a penalty interest rate of 10% per annum as stipulated under the Late Payment of Debts Act 2002 of New Zealand.</w:t>
      </w:r>
    </w:p>
    <w:p>
      <w:pPr>
        <w:pStyle w:val="BodyText"/>
      </w:pPr>
      <w:r>
        <w:t xml:space="preserve">Terms and Conditions</w:t>
      </w:r>
    </w:p>
    <w:p>
      <w:pPr>
        <w:pStyle w:val="BodyText"/>
      </w:pPr>
      <w:r>
        <w:rPr>
          <w:bCs/>
          <w:b/>
        </w:rPr>
        <w:t xml:space="preserve">1.</w:t>
      </w:r>
      <w:r>
        <w:t xml:space="preserve"> </w:t>
      </w:r>
      <w:r>
        <w:t xml:space="preserve">This invoice constitutes a formal request for payment for banking and financial advisory services rendered by the Banker, Harbourview Banking &amp; Financial Services Ltd., a registered financial services provider in Auckland, New Zealand, licensed under the Financial Advisers Act 2008.</w:t>
      </w:r>
    </w:p>
    <w:p>
      <w:pPr>
        <w:pStyle w:val="BodyText"/>
      </w:pPr>
      <w:r>
        <w:rPr>
          <w:bCs/>
          <w:b/>
        </w:rPr>
        <w:t xml:space="preserve">2.</w:t>
      </w:r>
      <w:r>
        <w:t xml:space="preserve"> </w:t>
      </w:r>
      <w:r>
        <w:t xml:space="preserve">All services described herein were performed in accordance with the professional standards expected of a licensed Banker operating within the jurisdiction of New Zealand, and in compliance with all applicable regulations of the Financial Markets Authority (FMA) and the Reserve Bank of New Zealand.</w:t>
      </w:r>
    </w:p>
    <w:p>
      <w:pPr>
        <w:pStyle w:val="BodyText"/>
      </w:pPr>
      <w:r>
        <w:rPr>
          <w:bCs/>
          <w:b/>
        </w:rPr>
        <w:t xml:space="preserve">3.</w:t>
      </w:r>
      <w:r>
        <w:t xml:space="preserve"> </w:t>
      </w:r>
      <w:r>
        <w:t xml:space="preserve">The client acknowledges that all banking services, including but not limited to account management, lending advisory, foreign exchange services, and treasury management, are subject to the terms of the Master Banking Services Agreement dated 1 March 2024, executed in Auckland, New Zealand.</w:t>
      </w:r>
    </w:p>
    <w:p>
      <w:pPr>
        <w:pStyle w:val="BodyText"/>
      </w:pPr>
      <w:r>
        <w:rPr>
          <w:bCs/>
          <w:b/>
        </w:rPr>
        <w:t xml:space="preserve">4.</w:t>
      </w:r>
      <w:r>
        <w:t xml:space="preserve"> </w:t>
      </w:r>
      <w:r>
        <w:t xml:space="preserve">Any disputes arising from this invoice or the services rendered shall be resolved in accordance with the Financial Services Complaints Scheme administered by the Financial Services Complaints Limited (FSC) in New Zealand, or alternatively, through the courts of competent jurisdiction in Auckland, New Zealand.</w:t>
      </w:r>
    </w:p>
    <w:p>
      <w:pPr>
        <w:pStyle w:val="BodyText"/>
      </w:pPr>
      <w:r>
        <w:rPr>
          <w:bCs/>
          <w:b/>
        </w:rPr>
        <w:t xml:space="preserve">5.</w:t>
      </w:r>
      <w:r>
        <w:t xml:space="preserve"> </w:t>
      </w:r>
      <w:r>
        <w:t xml:space="preserve">The Banker reserves the right to suspend services in the event of non-payment beyond the stipulated due date. All amounts are quoted in New Zealand Dollars (NZD) and are inclusive of applicable Goods and Services Tax (GST) at the current rate of 15% as administered by the Inland Revenue Department (IRD) of New Zealand.</w:t>
      </w:r>
    </w:p>
    <w:p>
      <w:pPr>
        <w:pStyle w:val="BodyText"/>
      </w:pPr>
      <w:r>
        <w:rPr>
          <w:bCs/>
          <w:b/>
        </w:rPr>
        <w:t xml:space="preserve">6.</w:t>
      </w:r>
      <w:r>
        <w:t xml:space="preserve"> </w:t>
      </w:r>
      <w:r>
        <w:t xml:space="preserve">This invoice is valid for a period of ninety (90) days from the date of issue. After this period, the Banker reserves the right to reissue the invoice with any applicable adjustments to reflect changes in service rates or regulatory requirements in New Zealand.</w:t>
      </w:r>
    </w:p>
    <w:p>
      <w:pPr>
        <w:pStyle w:val="BodyText"/>
      </w:pPr>
      <w:r>
        <w:rPr>
          <w:bCs/>
          <w:b/>
        </w:rPr>
        <w:t xml:space="preserve">7.</w:t>
      </w:r>
      <w:r>
        <w:t xml:space="preserve"> </w:t>
      </w:r>
      <w:r>
        <w:t xml:space="preserve">The Banker confirms that all client data and financial information processed in connection with this invoice have been handled in strict accordance with the Privacy Act 2020 of New Zealand and the bank's internal data protection policies.</w:t>
      </w:r>
    </w:p>
    <w:p>
      <w:pPr>
        <w:pStyle w:val="BodyText"/>
      </w:pPr>
      <w:r>
        <w:t xml:space="preserve">Authorised Signatory</w:t>
      </w:r>
    </w:p>
    <w:p>
      <w:pPr>
        <w:pStyle w:val="BodyText"/>
      </w:pPr>
      <w:r>
        <w:rPr>
          <w:bCs/>
          <w:b/>
        </w:rPr>
        <w:t xml:space="preserve">James R. Whitfield</w:t>
      </w:r>
      <w:r>
        <w:br/>
      </w:r>
      <w:r>
        <w:t xml:space="preserve">Senior Banker &amp; Head of Corporate Advisory</w:t>
      </w:r>
      <w:r>
        <w:br/>
      </w:r>
      <w:r>
        <w:t xml:space="preserve">Harbourview Banking &amp; Financial Services Ltd.</w:t>
      </w:r>
      <w:r>
        <w:br/>
      </w:r>
      <w:r>
        <w:t xml:space="preserve">Auckland, New Zealand</w:t>
      </w:r>
      <w:r>
        <w:br/>
      </w:r>
      <w:r>
        <w:t xml:space="preserve">FMA Licence No.: FMA-2019-004521</w:t>
      </w:r>
      <w:r>
        <w:br/>
      </w:r>
      <w:r>
        <w:t xml:space="preserve">Date: 15 June 2025</w:t>
      </w:r>
    </w:p>
    <w:p>
      <w:pPr>
        <w:pStyle w:val="BodyText"/>
      </w:pPr>
      <w:r>
        <w:t xml:space="preserve">Harbourview Banking &amp; Financial Services Ltd. | Level 12, 100 Queen Street, Auckland CBD, Auckland 1010, New Zealand</w:t>
      </w:r>
    </w:p>
    <w:p>
      <w:pPr>
        <w:pStyle w:val="BodyText"/>
      </w:pPr>
      <w:r>
        <w:t xml:space="preserve">Registered in New Zealand | Company No. 7654321 | FMA Licensed Provider | This invoice was generated electronically and is valid without a physical signature.</w:t>
      </w:r>
    </w:p>
    <w:p>
      <w:pPr>
        <w:pStyle w:val="BodyText"/>
      </w:pPr>
      <w:r>
        <w:t xml:space="preserve">© 2025 Harbourview Banking &amp; Financial Services Ltd. All rights reserved.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Auckland, New Zealand</dc:title>
  <dc:creator/>
  <dc:language>en</dc:language>
  <cp:keywords/>
  <dcterms:created xsi:type="dcterms:W3CDTF">2026-10-10T08:14:14Z</dcterms:created>
  <dcterms:modified xsi:type="dcterms:W3CDTF">2026-10-10T08:14:14Z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