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andes-financial-group-s.a.c."/>
    <w:p>
      <w:pPr>
        <w:pStyle w:val="Heading1"/>
      </w:pPr>
      <w:r>
        <w:t xml:space="preserve">Andes Financial Group S.A.C.</w:t>
      </w:r>
    </w:p>
    <w:p>
      <w:pPr>
        <w:pStyle w:val="FirstParagraph"/>
      </w:pPr>
      <w:r>
        <w:t xml:space="preserve">Av. Javier Prado Este 1250, Piso 14</w:t>
      </w:r>
    </w:p>
    <w:p>
      <w:pPr>
        <w:pStyle w:val="BodyText"/>
      </w:pPr>
      <w:r>
        <w:t xml:space="preserve">San Isidro, Peru Lima 15078</w:t>
      </w:r>
    </w:p>
    <w:p>
      <w:pPr>
        <w:pStyle w:val="BodyText"/>
      </w:pPr>
      <w:r>
        <w:t xml:space="preserve">RUC: 20587431296</w:t>
      </w:r>
    </w:p>
    <w:p>
      <w:pPr>
        <w:pStyle w:val="BodyText"/>
      </w:pPr>
      <w:r>
        <w:t xml:space="preserve">Phone: +51 1 445-8890</w:t>
      </w:r>
    </w:p>
    <w:p>
      <w:pPr>
        <w:pStyle w:val="BodyText"/>
      </w:pPr>
      <w:r>
        <w:t xml:space="preserve">Email: billing@andesfinancial.pe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AF-2025-00487</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Corporación Minera del Sur S.A.C.</w:t>
      </w:r>
    </w:p>
    <w:p>
      <w:pPr>
        <w:pStyle w:val="BodyText"/>
      </w:pPr>
      <w:r>
        <w:rPr>
          <w:bCs/>
          <w:b/>
        </w:rPr>
        <w:t xml:space="preserve">Attn:</w:t>
      </w:r>
      <w:r>
        <w:t xml:space="preserve"> </w:t>
      </w:r>
      <w:r>
        <w:t xml:space="preserve">Ing. Ricardo Mendoza Torres</w:t>
      </w:r>
    </w:p>
    <w:p>
      <w:pPr>
        <w:pStyle w:val="BodyText"/>
      </w:pPr>
      <w:r>
        <w:rPr>
          <w:bCs/>
          <w:b/>
        </w:rPr>
        <w:t xml:space="preserve">Address:</w:t>
      </w:r>
      <w:r>
        <w:t xml:space="preserve"> </w:t>
      </w:r>
      <w:r>
        <w:t xml:space="preserve">Jr. Unión 456, Of. 802</w:t>
      </w:r>
    </w:p>
    <w:p>
      <w:pPr>
        <w:pStyle w:val="BodyText"/>
      </w:pPr>
      <w:r>
        <w:rPr>
          <w:bCs/>
          <w:b/>
        </w:rPr>
        <w:t xml:space="preserve">City:</w:t>
      </w:r>
      <w:r>
        <w:t xml:space="preserve"> </w:t>
      </w:r>
      <w:r>
        <w:t xml:space="preserve">Peru Lima, Miraflores 15076</w:t>
      </w:r>
    </w:p>
    <w:p>
      <w:pPr>
        <w:pStyle w:val="BodyText"/>
      </w:pPr>
      <w:r>
        <w:rPr>
          <w:bCs/>
          <w:b/>
        </w:rPr>
        <w:t xml:space="preserve">RUC:</w:t>
      </w:r>
      <w:r>
        <w:t xml:space="preserve"> </w:t>
      </w:r>
      <w:r>
        <w:t xml:space="preserve">20498765432</w:t>
      </w:r>
    </w:p>
    <w:p>
      <w:pPr>
        <w:pStyle w:val="BodyText"/>
      </w:pPr>
      <w:r>
        <w:rPr>
          <w:bCs/>
          <w:b/>
        </w:rPr>
        <w:t xml:space="preserve">Email:</w:t>
      </w:r>
      <w:r>
        <w:t xml:space="preserve"> </w:t>
      </w:r>
      <w:r>
        <w:t xml:space="preserve">r.mendoza@minerasur.pe</w:t>
      </w:r>
    </w:p>
    <w:bookmarkEnd w:id="22"/>
    <w:bookmarkStart w:id="23" w:name="service-provider"/>
    <w:p>
      <w:pPr>
        <w:pStyle w:val="Heading3"/>
      </w:pPr>
      <w:r>
        <w:t xml:space="preserve">Service Provider</w:t>
      </w:r>
    </w:p>
    <w:p>
      <w:pPr>
        <w:pStyle w:val="FirstParagraph"/>
      </w:pPr>
      <w:r>
        <w:rPr>
          <w:bCs/>
          <w:b/>
        </w:rPr>
        <w:t xml:space="preserve">Banker:</w:t>
      </w:r>
      <w:r>
        <w:t xml:space="preserve"> </w:t>
      </w:r>
      <w:r>
        <w:t xml:space="preserve">Lic. Elena Vásquez Quispe</w:t>
      </w:r>
    </w:p>
    <w:p>
      <w:pPr>
        <w:pStyle w:val="BodyText"/>
      </w:pPr>
      <w:r>
        <w:rPr>
          <w:bCs/>
          <w:b/>
        </w:rPr>
        <w:t xml:space="preserve">Title:</w:t>
      </w:r>
      <w:r>
        <w:t xml:space="preserve"> </w:t>
      </w:r>
      <w:r>
        <w:t xml:space="preserve">Senior Banker &amp; Financial Advisor</w:t>
      </w:r>
    </w:p>
    <w:p>
      <w:pPr>
        <w:pStyle w:val="BodyText"/>
      </w:pPr>
      <w:r>
        <w:rPr>
          <w:bCs/>
          <w:b/>
        </w:rPr>
        <w:t xml:space="preserve">License No.:</w:t>
      </w:r>
      <w:r>
        <w:t xml:space="preserve"> </w:t>
      </w:r>
      <w:r>
        <w:t xml:space="preserve">SBS-BAK-2019-00342</w:t>
      </w:r>
    </w:p>
    <w:p>
      <w:pPr>
        <w:pStyle w:val="BodyText"/>
      </w:pPr>
      <w:r>
        <w:rPr>
          <w:bCs/>
          <w:b/>
        </w:rPr>
        <w:t xml:space="preserve">Office:</w:t>
      </w:r>
      <w:r>
        <w:t xml:space="preserve"> </w:t>
      </w:r>
      <w:r>
        <w:t xml:space="preserve">Peru Lima – San Isidro Branch</w:t>
      </w:r>
    </w:p>
    <w:p>
      <w:pPr>
        <w:pStyle w:val="BodyText"/>
      </w:pPr>
      <w:r>
        <w:rPr>
          <w:bCs/>
          <w:b/>
        </w:rPr>
        <w:t xml:space="preserve">Phone:</w:t>
      </w:r>
      <w:r>
        <w:t xml:space="preserve"> </w:t>
      </w:r>
      <w:r>
        <w:t xml:space="preserve">+51 987-654-321</w:t>
      </w:r>
    </w:p>
    <w:p>
      <w:pPr>
        <w:pStyle w:val="BodyText"/>
      </w:pPr>
      <w:r>
        <w:rPr>
          <w:bCs/>
          <w:b/>
        </w:rPr>
        <w:t xml:space="preserve">Email:</w:t>
      </w:r>
      <w:r>
        <w:t xml:space="preserve"> </w:t>
      </w:r>
      <w:r>
        <w:t xml:space="preserve">e.vasquez@andesfinancial.pe</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Banker Services</w:t>
            </w:r>
          </w:p>
        </w:tc>
        <w:tc>
          <w:tcPr/>
          <w:p>
            <w:pPr>
              <w:pStyle w:val="Compact"/>
              <w:jc w:val="left"/>
            </w:pPr>
            <w:r>
              <w:t xml:space="preserve">Quantity</w:t>
            </w:r>
          </w:p>
        </w:tc>
        <w:tc>
          <w:tcPr/>
          <w:p>
            <w:pPr>
              <w:pStyle w:val="Compact"/>
              <w:jc w:val="left"/>
            </w:pPr>
            <w:r>
              <w:t xml:space="preserve">Unit Rate (S/)</w:t>
            </w:r>
          </w:p>
        </w:tc>
        <w:tc>
          <w:tcPr/>
          <w:p>
            <w:pPr>
              <w:pStyle w:val="Compact"/>
              <w:jc w:val="left"/>
            </w:pPr>
            <w:r>
              <w:t xml:space="preserve">Amount (S/)</w:t>
            </w:r>
          </w:p>
        </w:tc>
      </w:tr>
      <w:tr>
        <w:tc>
          <w:tcPr/>
          <w:p>
            <w:pPr>
              <w:pStyle w:val="Compact"/>
              <w:jc w:val="left"/>
            </w:pPr>
            <w:r>
              <w:t xml:space="preserve">1</w:t>
            </w:r>
          </w:p>
        </w:tc>
        <w:tc>
          <w:tcPr/>
          <w:p>
            <w:pPr>
              <w:pStyle w:val="Compact"/>
              <w:jc w:val="left"/>
            </w:pPr>
            <w:r>
              <w:t xml:space="preserve">Corporate Banking Advisory – Monthly portfolio review and liquidity management consultation conducted by the assigned Banker at the client's Peru Lima headquarters.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Trade Finance Structuring – Design and negotiation of a letter of credit facility for international mineral exports, prepared by the Banker in compliance with BCRP regulations.</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3</w:t>
            </w:r>
          </w:p>
        </w:tc>
        <w:tc>
          <w:tcPr/>
          <w:p>
            <w:pPr>
              <w:pStyle w:val="Compact"/>
              <w:jc w:val="left"/>
            </w:pPr>
            <w:r>
              <w:t xml:space="preserve">Foreign Exchange Risk Management – Hedging strategy development and execution oversight by the Banker for USD/PEN exposure over the next fiscal quarter.</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4</w:t>
            </w:r>
          </w:p>
        </w:tc>
        <w:tc>
          <w:tcPr/>
          <w:p>
            <w:pPr>
              <w:pStyle w:val="Compact"/>
              <w:jc w:val="left"/>
            </w:pPr>
            <w:r>
              <w:t xml:space="preserve">Credit Line Optimization – Restructuring of existing revolving credit facilities and negotiation of preferential interest rates with correspondent banks in Peru Lima.</w:t>
            </w:r>
          </w:p>
        </w:tc>
        <w:tc>
          <w:tcPr/>
          <w:p>
            <w:pPr>
              <w:pStyle w:val="Compact"/>
              <w:jc w:val="left"/>
            </w:pPr>
            <w:r>
              <w:t xml:space="preserve">1</w:t>
            </w:r>
          </w:p>
        </w:tc>
        <w:tc>
          <w:tcPr/>
          <w:p>
            <w:pPr>
              <w:pStyle w:val="Compact"/>
              <w:jc w:val="left"/>
            </w:pPr>
            <w:r>
              <w:t xml:space="preserve">3,900.00</w:t>
            </w:r>
          </w:p>
        </w:tc>
        <w:tc>
          <w:tcPr/>
          <w:p>
            <w:pPr>
              <w:pStyle w:val="Compact"/>
              <w:jc w:val="left"/>
            </w:pPr>
            <w:r>
              <w:t xml:space="preserve">3,900.00</w:t>
            </w:r>
          </w:p>
        </w:tc>
      </w:tr>
      <w:tr>
        <w:tc>
          <w:tcPr/>
          <w:p>
            <w:pPr>
              <w:pStyle w:val="Compact"/>
              <w:jc w:val="left"/>
            </w:pPr>
            <w:r>
              <w:t xml:space="preserve">5</w:t>
            </w:r>
          </w:p>
        </w:tc>
        <w:tc>
          <w:tcPr/>
          <w:p>
            <w:pPr>
              <w:pStyle w:val="Compact"/>
              <w:jc w:val="left"/>
            </w:pPr>
            <w:r>
              <w:t xml:space="preserve">Regulatory Compliance Review – Quarterly audit support and documentation preparation for the Superintendencia de Banca, Seguros y AFP (SBS) filing, handled by the Banker.</w:t>
            </w:r>
          </w:p>
        </w:tc>
        <w:tc>
          <w:tcPr/>
          <w:p>
            <w:pPr>
              <w:pStyle w:val="Compact"/>
              <w:jc w:val="left"/>
            </w:pPr>
            <w:r>
              <w:t xml:space="preserve">1</w:t>
            </w:r>
          </w:p>
        </w:tc>
        <w:tc>
          <w:tcPr/>
          <w:p>
            <w:pPr>
              <w:pStyle w:val="Compact"/>
              <w:jc w:val="left"/>
            </w:pPr>
            <w:r>
              <w:t xml:space="preserve">2,600.00</w:t>
            </w:r>
          </w:p>
        </w:tc>
        <w:tc>
          <w:tcPr/>
          <w:p>
            <w:pPr>
              <w:pStyle w:val="Compact"/>
              <w:jc w:val="left"/>
            </w:pPr>
            <w:r>
              <w:t xml:space="preserve">2,600.00</w:t>
            </w:r>
          </w:p>
        </w:tc>
      </w:tr>
      <w:tr>
        <w:tc>
          <w:tcPr/>
          <w:p>
            <w:pPr>
              <w:pStyle w:val="Compact"/>
              <w:jc w:val="left"/>
            </w:pPr>
            <w:r>
              <w:t xml:space="preserve">6</w:t>
            </w:r>
          </w:p>
        </w:tc>
        <w:tc>
          <w:tcPr/>
          <w:p>
            <w:pPr>
              <w:pStyle w:val="Compact"/>
              <w:jc w:val="left"/>
            </w:pPr>
            <w:r>
              <w:t xml:space="preserve">On-Site Consultation – Two (2) in-person meetings at the Peru Lima office for strategic banking relationship planning and cash flow forecasting.</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w:t>
            </w:r>
          </w:p>
        </w:tc>
        <w:tc>
          <w:tcPr/>
          <w:p>
            <w:pPr>
              <w:pStyle w:val="Compact"/>
              <w:jc w:val="left"/>
            </w:pPr>
            <w:r>
              <w:t xml:space="preserve">26,400.00</w:t>
            </w:r>
          </w:p>
        </w:tc>
      </w:tr>
      <w:tr>
        <w:tc>
          <w:tcPr/>
          <w:p>
            <w:pPr>
              <w:pStyle w:val="Compact"/>
              <w:jc w:val="left"/>
            </w:pPr>
            <w:r>
              <w:t xml:space="preserve">IGV 18% (Peruvian VAT)</w:t>
            </w:r>
          </w:p>
        </w:tc>
        <w:tc>
          <w:tcPr/>
          <w:p>
            <w:pPr>
              <w:pStyle w:val="Compact"/>
              <w:jc w:val="left"/>
            </w:pPr>
            <w:r>
              <w:t xml:space="preserve">4,752.00</w:t>
            </w:r>
          </w:p>
        </w:tc>
      </w:tr>
      <w:tr>
        <w:tc>
          <w:tcPr/>
          <w:p>
            <w:pPr>
              <w:pStyle w:val="Compact"/>
              <w:jc w:val="left"/>
            </w:pPr>
            <w:r>
              <w:t xml:space="preserve">Discount – Loyalty Program (5%)</w:t>
            </w:r>
          </w:p>
        </w:tc>
        <w:tc>
          <w:tcPr/>
          <w:p>
            <w:pPr>
              <w:pStyle w:val="Compact"/>
              <w:jc w:val="left"/>
            </w:pPr>
            <w:r>
              <w:t xml:space="preserve">-1,320.00</w:t>
            </w:r>
          </w:p>
        </w:tc>
      </w:tr>
      <w:tr>
        <w:tc>
          <w:tcPr/>
          <w:p>
            <w:pPr>
              <w:pStyle w:val="Compact"/>
              <w:jc w:val="left"/>
            </w:pPr>
            <w:r>
              <w:t xml:space="preserve">TOTAL DUE (S/)</w:t>
            </w:r>
          </w:p>
        </w:tc>
        <w:tc>
          <w:tcPr/>
          <w:p>
            <w:pPr>
              <w:pStyle w:val="Compact"/>
              <w:jc w:val="left"/>
            </w:pPr>
            <w:r>
              <w:t xml:space="preserve">29,832.00</w:t>
            </w:r>
          </w:p>
        </w:tc>
      </w:tr>
    </w:tbl>
    <w:bookmarkStart w:id="24" w:name="payment-terms-instructions"/>
    <w:p>
      <w:pPr>
        <w:pStyle w:val="Heading3"/>
      </w:pPr>
      <w:r>
        <w:t xml:space="preserve">Payment Terms &amp; Instructions</w:t>
      </w:r>
    </w:p>
    <w:p>
      <w:pPr>
        <w:pStyle w:val="FirstParagraph"/>
      </w:pPr>
      <w:r>
        <w:t xml:space="preserve">This Invoice must be settled within thirty (30) calendar days from the date of issue. Payment is to be made via bank transfer to the following account held at Banco de Crédito del Perú, branch Peru Lima – San Isidro:</w:t>
      </w:r>
    </w:p>
    <w:p>
      <w:pPr>
        <w:pStyle w:val="BodyText"/>
      </w:pPr>
      <w:r>
        <w:rPr>
          <w:bCs/>
          <w:b/>
        </w:rPr>
        <w:t xml:space="preserve">Account Name:</w:t>
      </w:r>
      <w:r>
        <w:t xml:space="preserve"> </w:t>
      </w:r>
      <w:r>
        <w:t xml:space="preserve">Andes Financial Group S.A.C.</w:t>
      </w:r>
    </w:p>
    <w:p>
      <w:pPr>
        <w:pStyle w:val="BodyText"/>
      </w:pPr>
      <w:r>
        <w:rPr>
          <w:bCs/>
          <w:b/>
        </w:rPr>
        <w:t xml:space="preserve">Account No.:</w:t>
      </w:r>
      <w:r>
        <w:t xml:space="preserve"> </w:t>
      </w:r>
      <w:r>
        <w:t xml:space="preserve">191-20456789-05</w:t>
      </w:r>
    </w:p>
    <w:p>
      <w:pPr>
        <w:pStyle w:val="BodyText"/>
      </w:pPr>
      <w:r>
        <w:rPr>
          <w:bCs/>
          <w:b/>
        </w:rPr>
        <w:t xml:space="preserve">BCI:</w:t>
      </w:r>
      <w:r>
        <w:t xml:space="preserve"> </w:t>
      </w:r>
      <w:r>
        <w:t xml:space="preserve">0021-00-00191-20456789-05</w:t>
      </w:r>
    </w:p>
    <w:p>
      <w:pPr>
        <w:pStyle w:val="BodyText"/>
      </w:pPr>
      <w:r>
        <w:rPr>
          <w:bCs/>
          <w:b/>
        </w:rPr>
        <w:t xml:space="preserve">Reference:</w:t>
      </w:r>
      <w:r>
        <w:t xml:space="preserve"> </w:t>
      </w:r>
      <w:r>
        <w:t xml:space="preserve">Invoice AF-2025-00487</w:t>
      </w:r>
    </w:p>
    <w:p>
      <w:pPr>
        <w:pStyle w:val="BodyText"/>
      </w:pPr>
      <w:r>
        <w:t xml:space="preserve">Please reference the Invoice number in all correspondence and remittance advices. Late payments will accrue interest at the maximum rate established by the Banco Central de Reserva del Perú (BCRP) as of the due date.</w:t>
      </w:r>
    </w:p>
    <w:bookmarkEnd w:id="24"/>
    <w:bookmarkStart w:id="25" w:name="important-notes"/>
    <w:p>
      <w:pPr>
        <w:pStyle w:val="Heading3"/>
      </w:pPr>
      <w:r>
        <w:t xml:space="preserve">Important Notes</w:t>
      </w:r>
    </w:p>
    <w:p>
      <w:pPr>
        <w:pStyle w:val="FirstParagraph"/>
      </w:pPr>
      <w:r>
        <w:t xml:space="preserve">1. This Invoice has been issued in accordance with the Peruvian tax regulations (Ley del Impuesto General a las Ventas) and the electronic invoicing standards mandated by SUNAT for operations conducted in Peru Lima.</w:t>
      </w:r>
    </w:p>
    <w:p>
      <w:pPr>
        <w:pStyle w:val="BodyText"/>
      </w:pPr>
      <w:r>
        <w:t xml:space="preserve">2. The Banker services described herein are rendered under a professional engagement contract (Contrato de Prestación de Servicios) dated April 1, 2025, between Andes Financial Group S.A.C. and Corporación Minera del Sur S.A.C.</w:t>
      </w:r>
    </w:p>
    <w:p>
      <w:pPr>
        <w:pStyle w:val="BodyText"/>
      </w:pPr>
      <w:r>
        <w:t xml:space="preserve">3. All financial advice and structuring performed by the Banker is subject to the confidentiality provisions outlined in Article 12 of the master service agreement. No portion of this Invoice or the underlying services may be disclosed to third parties without written consent.</w:t>
      </w:r>
    </w:p>
    <w:p>
      <w:pPr>
        <w:pStyle w:val="BodyText"/>
      </w:pPr>
      <w:r>
        <w:t xml:space="preserve">4. The Banker, Lic. Elena Vásquez Quispe, is duly registered with the Superintendencia de Banca, Seguros y AFP and holds a valid professional license for the provision of corporate banking advisory services within the jurisdiction of Peru Lima.</w:t>
      </w:r>
    </w:p>
    <w:p>
      <w:pPr>
        <w:pStyle w:val="BodyText"/>
      </w:pPr>
      <w:r>
        <w:t xml:space="preserve">5. In the event of any discrepancy in the line items or amounts listed on this Invoice, the client is requested to notify the billing department within five (5) business days of receipt. Failure to do so shall constitute acceptance of the Invoice as issued.</w:t>
      </w:r>
    </w:p>
    <w:p>
      <w:pPr>
        <w:pStyle w:val="BodyText"/>
      </w:pPr>
      <w:r>
        <w:t xml:space="preserve">6. This document serves as the official fiscal document for the services rendered during the period specified. A digital copy with SUNAT validation code is available upon request at billing@andesfinancial.pe.</w:t>
      </w:r>
    </w:p>
    <w:bookmarkEnd w:id="25"/>
    <w:p>
      <w:pPr>
        <w:pStyle w:val="BodyText"/>
      </w:pPr>
      <w:r>
        <w:rPr>
          <w:bCs/>
          <w:b/>
        </w:rPr>
        <w:t xml:space="preserve">Andes Financial Group S.A.C.</w:t>
      </w:r>
      <w:r>
        <w:t xml:space="preserve"> </w:t>
      </w:r>
      <w:r>
        <w:t xml:space="preserve">– RUC 20587431296 – Av. Javier Prado Este 1250, San Isidro, Peru Lima 15078</w:t>
      </w:r>
    </w:p>
    <w:p>
      <w:pPr>
        <w:pStyle w:val="BodyText"/>
      </w:pPr>
      <w:r>
        <w:t xml:space="preserve">Registered with the Superintendencia de Banca, Seguros y AFP (SBS) – License No. 001-2015-SBS</w:t>
      </w:r>
    </w:p>
    <w:p>
      <w:pPr>
        <w:pStyle w:val="BodyText"/>
      </w:pPr>
      <w:r>
        <w:t xml:space="preserve">This Invoice was generated electronically and is valid without a physical signature in accordance with Peruvian commercial law.</w:t>
      </w:r>
    </w:p>
    <w:p>
      <w:pPr>
        <w:pStyle w:val="BodyText"/>
      </w:pPr>
      <w:r>
        <w:t xml:space="preserve">Thank you for your business. We value our banking relationship with you in Peru Lima.</w:t>
      </w:r>
    </w:p>
    <w:p>
      <w:pPr>
        <w:pStyle w:val="BodyText"/>
      </w:pPr>
      <w:r>
        <w:t xml:space="preserve">Invoice AF-2025-00487 | Generated: 2025-06-15 09:32:15 (GMT-5)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Banker Services - Peru Lima</dc:title>
  <dc:creator/>
  <dc:language>en</dc:language>
  <cp:keywords/>
  <dcterms:created xsi:type="dcterms:W3CDTF">2026-10-10T06:10:39Z</dcterms:created>
  <dcterms:modified xsi:type="dcterms:W3CDTF">2026-10-10T06:10:39Z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