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0" w:name="manila-premier-banking-solutions"/>
    <w:p>
      <w:pPr>
        <w:pStyle w:val="Heading1"/>
      </w:pPr>
      <w:r>
        <w:t xml:space="preserve">Manila Premier Banking Solutions</w:t>
      </w:r>
    </w:p>
    <w:p>
      <w:pPr>
        <w:pStyle w:val="FirstParagraph"/>
      </w:pPr>
      <w:r>
        <w:t xml:space="preserve">Unit 1204, Ayala Center Tower 2</w:t>
      </w:r>
    </w:p>
    <w:p>
      <w:pPr>
        <w:pStyle w:val="BodyText"/>
      </w:pPr>
      <w:r>
        <w:t xml:space="preserve">1201 Makati Avenue, Makati City</w:t>
      </w:r>
    </w:p>
    <w:p>
      <w:pPr>
        <w:pStyle w:val="BodyText"/>
      </w:pPr>
      <w:r>
        <w:t xml:space="preserve">Philippines Manila, 1226</w:t>
      </w:r>
    </w:p>
    <w:p>
      <w:pPr>
        <w:pStyle w:val="BodyText"/>
      </w:pPr>
      <w:r>
        <w:t xml:space="preserve">Tel: +63 (2) 8881-4567 | Email: billing@manilapremierbank.com</w:t>
      </w:r>
    </w:p>
    <w:p>
      <w:pPr>
        <w:pStyle w:val="BodyText"/>
      </w:pPr>
      <w:r>
        <w:t xml:space="preserve">TIN: 000-123-456-000 | BIR Registration No. 000-123-456</w:t>
      </w:r>
    </w:p>
    <w:p>
      <w:pPr>
        <w:pStyle w:val="BodyText"/>
      </w:pPr>
      <w:r>
        <w:t xml:space="preserve">CERTIFIED BANKER SERVICES</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MPS-2025-04872</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May 1, 2025 – May 31, 2025</w:t>
      </w:r>
    </w:p>
    <w:p>
      <w:pPr>
        <w:pStyle w:val="BodyText"/>
      </w:pPr>
      <w:r>
        <w:rPr>
          <w:bCs/>
          <w:b/>
        </w:rPr>
        <w:t xml:space="preserve">Location:</w:t>
      </w:r>
      <w:r>
        <w:t xml:space="preserve"> </w:t>
      </w:r>
      <w:r>
        <w:t xml:space="preserve">Philippines Manila</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Santos Global Trading Corporation</w:t>
      </w:r>
    </w:p>
    <w:p>
      <w:pPr>
        <w:pStyle w:val="BodyText"/>
      </w:pPr>
      <w:r>
        <w:rPr>
          <w:bCs/>
          <w:b/>
        </w:rPr>
        <w:t xml:space="preserve">Address:</w:t>
      </w:r>
      <w:r>
        <w:t xml:space="preserve"> </w:t>
      </w:r>
      <w:r>
        <w:t xml:space="preserve">888 Bonifacio High Street, BGC</w:t>
      </w:r>
    </w:p>
    <w:p>
      <w:pPr>
        <w:pStyle w:val="BodyText"/>
      </w:pPr>
      <w:r>
        <w:rPr>
          <w:bCs/>
          <w:b/>
        </w:rPr>
        <w:t xml:space="preserve">Philippines Manila, 1210</w:t>
      </w:r>
    </w:p>
    <w:p>
      <w:pPr>
        <w:pStyle w:val="BodyText"/>
      </w:pPr>
      <w:r>
        <w:rPr>
          <w:bCs/>
          <w:b/>
        </w:rPr>
        <w:t xml:space="preserve">Contact Person:</w:t>
      </w:r>
      <w:r>
        <w:t xml:space="preserve"> </w:t>
      </w:r>
      <w:r>
        <w:t xml:space="preserve">Mr. Ricardo Santos</w:t>
      </w:r>
    </w:p>
    <w:p>
      <w:pPr>
        <w:pStyle w:val="BodyText"/>
      </w:pPr>
      <w:r>
        <w:rPr>
          <w:bCs/>
          <w:b/>
        </w:rPr>
        <w:t xml:space="preserve">Email:</w:t>
      </w:r>
      <w:r>
        <w:t xml:space="preserve"> </w:t>
      </w:r>
      <w:r>
        <w:t xml:space="preserve">r.santos@santosglobal.ph</w:t>
      </w:r>
    </w:p>
    <w:p>
      <w:pPr>
        <w:pStyle w:val="BodyText"/>
      </w:pPr>
      <w:r>
        <w:rPr>
          <w:bCs/>
          <w:b/>
        </w:rPr>
        <w:t xml:space="preserve">TIN:</w:t>
      </w:r>
      <w:r>
        <w:t xml:space="preserve"> </w:t>
      </w:r>
      <w:r>
        <w:t xml:space="preserve">234-567-890-000</w:t>
      </w:r>
    </w:p>
    <w:bookmarkEnd w:id="22"/>
    <w:bookmarkStart w:id="23" w:name="prepared-by-banker"/>
    <w:p>
      <w:pPr>
        <w:pStyle w:val="Heading3"/>
      </w:pPr>
      <w:r>
        <w:t xml:space="preserve">Prepared By (Banker)</w:t>
      </w:r>
    </w:p>
    <w:p>
      <w:pPr>
        <w:pStyle w:val="FirstParagraph"/>
      </w:pPr>
      <w:r>
        <w:rPr>
          <w:bCs/>
          <w:b/>
        </w:rPr>
        <w:t xml:space="preserve">Banker Name:</w:t>
      </w:r>
      <w:r>
        <w:t xml:space="preserve"> </w:t>
      </w:r>
      <w:r>
        <w:t xml:space="preserve">Atty. Maria Elena Cruz, CFA</w:t>
      </w:r>
    </w:p>
    <w:p>
      <w:pPr>
        <w:pStyle w:val="BodyText"/>
      </w:pPr>
      <w:r>
        <w:rPr>
          <w:bCs/>
          <w:b/>
        </w:rPr>
        <w:t xml:space="preserve">Title:</w:t>
      </w:r>
      <w:r>
        <w:t xml:space="preserve"> </w:t>
      </w:r>
      <w:r>
        <w:t xml:space="preserve">Senior Corporate Banker</w:t>
      </w:r>
    </w:p>
    <w:p>
      <w:pPr>
        <w:pStyle w:val="BodyText"/>
      </w:pPr>
      <w:r>
        <w:rPr>
          <w:bCs/>
          <w:b/>
        </w:rPr>
        <w:t xml:space="preserve">Lic. No.:</w:t>
      </w:r>
      <w:r>
        <w:t xml:space="preserve"> </w:t>
      </w:r>
      <w:r>
        <w:t xml:space="preserve">SEC-2019-004521</w:t>
      </w:r>
    </w:p>
    <w:p>
      <w:pPr>
        <w:pStyle w:val="BodyText"/>
      </w:pPr>
      <w:r>
        <w:rPr>
          <w:bCs/>
          <w:b/>
        </w:rPr>
        <w:t xml:space="preserve">Office:</w:t>
      </w:r>
      <w:r>
        <w:t xml:space="preserve"> </w:t>
      </w:r>
      <w:r>
        <w:t xml:space="preserve">Philippines Manila Branch</w:t>
      </w:r>
    </w:p>
    <w:p>
      <w:pPr>
        <w:pStyle w:val="BodyText"/>
      </w:pPr>
      <w:r>
        <w:rPr>
          <w:bCs/>
          <w:b/>
        </w:rPr>
        <w:t xml:space="preserve">Email:</w:t>
      </w:r>
      <w:r>
        <w:t xml:space="preserve"> </w:t>
      </w:r>
      <w:r>
        <w:t xml:space="preserve">m.cruz@manilapremierbank.com</w:t>
      </w:r>
    </w:p>
    <w:p>
      <w:pPr>
        <w:pStyle w:val="BodyText"/>
      </w:pPr>
      <w:r>
        <w:rPr>
          <w:bCs/>
          <w:b/>
        </w:rPr>
        <w:t xml:space="preserve">Direct Line:</w:t>
      </w:r>
      <w:r>
        <w:t xml:space="preserve"> </w:t>
      </w:r>
      <w:r>
        <w:t xml:space="preserve">+63 (2) 8881-4590</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Banker Services</w:t>
            </w:r>
          </w:p>
        </w:tc>
        <w:tc>
          <w:tcPr/>
          <w:p>
            <w:pPr>
              <w:pStyle w:val="Compact"/>
              <w:jc w:val="left"/>
            </w:pPr>
            <w:r>
              <w:t xml:space="preserve">Service Category</w:t>
            </w:r>
          </w:p>
        </w:tc>
        <w:tc>
          <w:tcPr/>
          <w:p>
            <w:pPr>
              <w:pStyle w:val="Compact"/>
              <w:jc w:val="left"/>
            </w:pPr>
            <w:r>
              <w:t xml:space="preserve">Qty</w:t>
            </w:r>
          </w:p>
        </w:tc>
        <w:tc>
          <w:tcPr/>
          <w:p>
            <w:pPr>
              <w:pStyle w:val="Compact"/>
              <w:jc w:val="left"/>
            </w:pPr>
            <w:r>
              <w:t xml:space="preserve">Unit Price (PHP)</w:t>
            </w:r>
          </w:p>
        </w:tc>
        <w:tc>
          <w:tcPr/>
          <w:p>
            <w:pPr>
              <w:pStyle w:val="Compact"/>
              <w:jc w:val="left"/>
            </w:pPr>
            <w:r>
              <w:t xml:space="preserve">Amount (PHP)</w:t>
            </w:r>
          </w:p>
        </w:tc>
      </w:tr>
      <w:tr>
        <w:tc>
          <w:tcPr/>
          <w:p>
            <w:pPr>
              <w:pStyle w:val="Compact"/>
              <w:jc w:val="left"/>
            </w:pPr>
            <w:r>
              <w:t xml:space="preserve">1</w:t>
            </w:r>
          </w:p>
        </w:tc>
        <w:tc>
          <w:tcPr/>
          <w:p>
            <w:pPr>
              <w:pStyle w:val="Compact"/>
              <w:jc w:val="left"/>
            </w:pPr>
            <w:r>
              <w:t xml:space="preserve">Corporate Banking Account Management and Advisory – Monthly review of all business accounts, transaction monitoring, and liquidity planning conducted by the assigned Banker in the Philippines Manila office.</w:t>
            </w:r>
          </w:p>
        </w:tc>
        <w:tc>
          <w:tcPr/>
          <w:p>
            <w:pPr>
              <w:pStyle w:val="Compact"/>
              <w:jc w:val="left"/>
            </w:pPr>
            <w:r>
              <w:t xml:space="preserve">Account Management</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Trade Finance Structuring – Preparation and processing of Letters of Credit, Bank Guarantees, and Documentary Collections for import-export operations. The Banker coordinated with correspondent banks in Singapore and Tokyo.</w:t>
            </w:r>
          </w:p>
        </w:tc>
        <w:tc>
          <w:tcPr/>
          <w:p>
            <w:pPr>
              <w:pStyle w:val="Compact"/>
              <w:jc w:val="left"/>
            </w:pPr>
            <w:r>
              <w:t xml:space="preserve">Trade Finance</w:t>
            </w:r>
          </w:p>
        </w:tc>
        <w:tc>
          <w:tcPr/>
          <w:p>
            <w:pPr>
              <w:pStyle w:val="Compact"/>
              <w:jc w:val="left"/>
            </w:pPr>
            <w:r>
              <w:t xml:space="preserve">3</w:t>
            </w:r>
          </w:p>
        </w:tc>
        <w:tc>
          <w:tcPr/>
          <w:p>
            <w:pPr>
              <w:pStyle w:val="Compact"/>
              <w:jc w:val="left"/>
            </w:pPr>
            <w:r>
              <w:t xml:space="preserve">28,500.00</w:t>
            </w:r>
          </w:p>
        </w:tc>
        <w:tc>
          <w:tcPr/>
          <w:p>
            <w:pPr>
              <w:pStyle w:val="Compact"/>
              <w:jc w:val="left"/>
            </w:pPr>
            <w:r>
              <w:t xml:space="preserve">85,500.00</w:t>
            </w:r>
          </w:p>
        </w:tc>
      </w:tr>
      <w:tr>
        <w:tc>
          <w:tcPr/>
          <w:p>
            <w:pPr>
              <w:pStyle w:val="Compact"/>
              <w:jc w:val="left"/>
            </w:pPr>
            <w:r>
              <w:t xml:space="preserve">3</w:t>
            </w:r>
          </w:p>
        </w:tc>
        <w:tc>
          <w:tcPr/>
          <w:p>
            <w:pPr>
              <w:pStyle w:val="Compact"/>
              <w:jc w:val="left"/>
            </w:pPr>
            <w:r>
              <w:t xml:space="preserve">Loan Portfolio Review and Restructuring – Comprehensive assessment of existing credit facilities, cash flow analysis, and proposal for working capital loan restructuring. Conducted by the Senior Banker at the Philippines Manila headquarters.</w:t>
            </w:r>
          </w:p>
        </w:tc>
        <w:tc>
          <w:tcPr/>
          <w:p>
            <w:pPr>
              <w:pStyle w:val="Compact"/>
              <w:jc w:val="left"/>
            </w:pPr>
            <w:r>
              <w:t xml:space="preserve">Credit Services</w:t>
            </w:r>
          </w:p>
        </w:tc>
        <w:tc>
          <w:tcPr/>
          <w:p>
            <w:pPr>
              <w:pStyle w:val="Compact"/>
              <w:jc w:val="left"/>
            </w:pPr>
            <w:r>
              <w:t xml:space="preserve">1</w:t>
            </w:r>
          </w:p>
        </w:tc>
        <w:tc>
          <w:tcPr/>
          <w:p>
            <w:pPr>
              <w:pStyle w:val="Compact"/>
              <w:jc w:val="left"/>
            </w:pPr>
            <w:r>
              <w:t xml:space="preserve">65,000.00</w:t>
            </w:r>
          </w:p>
        </w:tc>
        <w:tc>
          <w:tcPr/>
          <w:p>
            <w:pPr>
              <w:pStyle w:val="Compact"/>
              <w:jc w:val="left"/>
            </w:pPr>
            <w:r>
              <w:t xml:space="preserve">65,000.00</w:t>
            </w:r>
          </w:p>
        </w:tc>
      </w:tr>
      <w:tr>
        <w:tc>
          <w:tcPr/>
          <w:p>
            <w:pPr>
              <w:pStyle w:val="Compact"/>
              <w:jc w:val="left"/>
            </w:pPr>
            <w:r>
              <w:t xml:space="preserve">4</w:t>
            </w:r>
          </w:p>
        </w:tc>
        <w:tc>
          <w:tcPr/>
          <w:p>
            <w:pPr>
              <w:pStyle w:val="Compact"/>
              <w:jc w:val="left"/>
            </w:pPr>
            <w:r>
              <w:t xml:space="preserve">Foreign Exchange Advisory and Hedging – Monthly FX risk assessment, currency hedging strategy formulation, and execution of forward contracts. The Banker provided tailored recommendations based on the client's exposure in USD, JPY, and SGD.</w:t>
            </w:r>
          </w:p>
        </w:tc>
        <w:tc>
          <w:tcPr/>
          <w:p>
            <w:pPr>
              <w:pStyle w:val="Compact"/>
              <w:jc w:val="left"/>
            </w:pPr>
            <w:r>
              <w:t xml:space="preserve">FX Services</w:t>
            </w:r>
          </w:p>
        </w:tc>
        <w:tc>
          <w:tcPr/>
          <w:p>
            <w:pPr>
              <w:pStyle w:val="Compact"/>
              <w:jc w:val="left"/>
            </w:pPr>
            <w:r>
              <w:t xml:space="preserve">1</w:t>
            </w:r>
          </w:p>
        </w:tc>
        <w:tc>
          <w:tcPr/>
          <w:p>
            <w:pPr>
              <w:pStyle w:val="Compact"/>
              <w:jc w:val="left"/>
            </w:pPr>
            <w:r>
              <w:t xml:space="preserve">38,000.00</w:t>
            </w:r>
          </w:p>
        </w:tc>
        <w:tc>
          <w:tcPr/>
          <w:p>
            <w:pPr>
              <w:pStyle w:val="Compact"/>
              <w:jc w:val="left"/>
            </w:pPr>
            <w:r>
              <w:t xml:space="preserve">38,000.00</w:t>
            </w:r>
          </w:p>
        </w:tc>
      </w:tr>
      <w:tr>
        <w:tc>
          <w:tcPr/>
          <w:p>
            <w:pPr>
              <w:pStyle w:val="Compact"/>
              <w:jc w:val="left"/>
            </w:pPr>
            <w:r>
              <w:t xml:space="preserve">5</w:t>
            </w:r>
          </w:p>
        </w:tc>
        <w:tc>
          <w:tcPr/>
          <w:p>
            <w:pPr>
              <w:pStyle w:val="Compact"/>
              <w:jc w:val="left"/>
            </w:pPr>
            <w:r>
              <w:t xml:space="preserve">Compliance and Regulatory Reporting – Preparation of BIR-compliant transaction reports, Bangko Sentral ng Pilipinas (BSP) regulatory filings, and anti-money laundering (AML) documentation as required for operations in Philippines Manila.</w:t>
            </w:r>
          </w:p>
        </w:tc>
        <w:tc>
          <w:tcPr/>
          <w:p>
            <w:pPr>
              <w:pStyle w:val="Compact"/>
              <w:jc w:val="left"/>
            </w:pPr>
            <w:r>
              <w:t xml:space="preserve">Compliance</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6</w:t>
            </w:r>
          </w:p>
        </w:tc>
        <w:tc>
          <w:tcPr/>
          <w:p>
            <w:pPr>
              <w:pStyle w:val="Compact"/>
              <w:jc w:val="left"/>
            </w:pPr>
            <w:r>
              <w:t xml:space="preserve">On-Site Banking Consultation – Two (2) in-person meetings at the client's BGC office in Philippines Manila for strategic banking discussions, relationship review, and quarterly performance assessment led by the dedicated Banker.</w:t>
            </w:r>
          </w:p>
        </w:tc>
        <w:tc>
          <w:tcPr/>
          <w:p>
            <w:pPr>
              <w:pStyle w:val="Compact"/>
              <w:jc w:val="left"/>
            </w:pPr>
            <w:r>
              <w:t xml:space="preserve">Consultation</w:t>
            </w:r>
          </w:p>
        </w:tc>
        <w:tc>
          <w:tcPr/>
          <w:p>
            <w:pPr>
              <w:pStyle w:val="Compact"/>
              <w:jc w:val="left"/>
            </w:pPr>
            <w:r>
              <w:t xml:space="preserve">2</w:t>
            </w:r>
          </w:p>
        </w:tc>
        <w:tc>
          <w:tcPr/>
          <w:p>
            <w:pPr>
              <w:pStyle w:val="Compact"/>
              <w:jc w:val="left"/>
            </w:pPr>
            <w:r>
              <w:t xml:space="preserve">15,000.00</w:t>
            </w:r>
          </w:p>
        </w:tc>
        <w:tc>
          <w:tcPr/>
          <w:p>
            <w:pPr>
              <w:pStyle w:val="Compact"/>
              <w:jc w:val="left"/>
            </w:pPr>
            <w:r>
              <w:t xml:space="preserve">30,000.00</w:t>
            </w:r>
          </w:p>
        </w:tc>
      </w:tr>
      <w:tr>
        <w:tc>
          <w:tcPr/>
          <w:p>
            <w:pPr>
              <w:pStyle w:val="Compact"/>
              <w:jc w:val="left"/>
            </w:pPr>
            <w:r>
              <w:t xml:space="preserve">7</w:t>
            </w:r>
          </w:p>
        </w:tc>
        <w:tc>
          <w:tcPr/>
          <w:p>
            <w:pPr>
              <w:pStyle w:val="Compact"/>
              <w:jc w:val="left"/>
            </w:pPr>
            <w:r>
              <w:t xml:space="preserve">Payroll Banking and Treasury Management Setup – Configuration of automated payroll disbursement, multi-currency treasury accounts, and real-time cash position reporting for the client's 340 employees based in Philippines Manila.</w:t>
            </w:r>
          </w:p>
        </w:tc>
        <w:tc>
          <w:tcPr/>
          <w:p>
            <w:pPr>
              <w:pStyle w:val="Compact"/>
              <w:jc w:val="left"/>
            </w:pPr>
            <w:r>
              <w:t xml:space="preserve">Treasury Services</w:t>
            </w:r>
          </w:p>
        </w:tc>
        <w:tc>
          <w:tcPr/>
          <w:p>
            <w:pPr>
              <w:pStyle w:val="Compact"/>
              <w:jc w:val="left"/>
            </w:pPr>
            <w:r>
              <w:t xml:space="preserve">1</w:t>
            </w:r>
          </w:p>
        </w:tc>
        <w:tc>
          <w:tcPr/>
          <w:p>
            <w:pPr>
              <w:pStyle w:val="Compact"/>
              <w:jc w:val="left"/>
            </w:pPr>
            <w:r>
              <w:t xml:space="preserve">52,000.00</w:t>
            </w:r>
          </w:p>
        </w:tc>
        <w:tc>
          <w:tcPr/>
          <w:p>
            <w:pPr>
              <w:pStyle w:val="Compact"/>
              <w:jc w:val="left"/>
            </w:pPr>
            <w:r>
              <w:t xml:space="preserve">52,000.00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PHP 337,500.00</w:t>
            </w:r>
          </w:p>
        </w:tc>
      </w:tr>
      <w:tr>
        <w:tc>
          <w:tcPr/>
          <w:p>
            <w:pPr>
              <w:pStyle w:val="Compact"/>
              <w:jc w:val="left"/>
            </w:pPr>
            <w:r>
              <w:t xml:space="preserve">VAT (12%)</w:t>
            </w:r>
          </w:p>
        </w:tc>
        <w:tc>
          <w:tcPr/>
          <w:p>
            <w:pPr>
              <w:pStyle w:val="Compact"/>
              <w:jc w:val="left"/>
            </w:pPr>
            <w:r>
              <w:t xml:space="preserve">PHP 40,500.00</w:t>
            </w:r>
          </w:p>
        </w:tc>
      </w:tr>
      <w:tr>
        <w:tc>
          <w:tcPr/>
          <w:p>
            <w:pPr>
              <w:pStyle w:val="Compact"/>
              <w:jc w:val="left"/>
            </w:pPr>
            <w:r>
              <w:t xml:space="preserve">Documentary Stamp Tax</w:t>
            </w:r>
          </w:p>
        </w:tc>
        <w:tc>
          <w:tcPr/>
          <w:p>
            <w:pPr>
              <w:pStyle w:val="Compact"/>
              <w:jc w:val="left"/>
            </w:pPr>
            <w:r>
              <w:t xml:space="preserve">PHP 1,687.50</w:t>
            </w:r>
          </w:p>
        </w:tc>
      </w:tr>
      <w:tr>
        <w:tc>
          <w:tcPr/>
          <w:p>
            <w:pPr>
              <w:pStyle w:val="Compact"/>
              <w:jc w:val="left"/>
            </w:pPr>
            <w:r>
              <w:t xml:space="preserve">Late Payment Penalty (if applicable)</w:t>
            </w:r>
          </w:p>
        </w:tc>
        <w:tc>
          <w:tcPr/>
          <w:p>
            <w:pPr>
              <w:pStyle w:val="Compact"/>
              <w:jc w:val="left"/>
            </w:pPr>
            <w:r>
              <w:t xml:space="preserve">PHP 0.00</w:t>
            </w:r>
          </w:p>
        </w:tc>
      </w:tr>
      <w:tr>
        <w:tc>
          <w:tcPr/>
          <w:p>
            <w:pPr>
              <w:pStyle w:val="Compact"/>
              <w:jc w:val="left"/>
            </w:pPr>
            <w:r>
              <w:t xml:space="preserve">GRAND TOTAL</w:t>
            </w:r>
          </w:p>
        </w:tc>
        <w:tc>
          <w:tcPr/>
          <w:p>
            <w:pPr>
              <w:pStyle w:val="Compact"/>
              <w:jc w:val="left"/>
            </w:pPr>
            <w:r>
              <w:t xml:space="preserve">PHP 379,687.50</w:t>
            </w:r>
          </w:p>
        </w:tc>
      </w:tr>
    </w:tbl>
    <w:bookmarkStart w:id="24" w:name="payment-terms-and-instructions"/>
    <w:p>
      <w:pPr>
        <w:pStyle w:val="Heading3"/>
      </w:pPr>
      <w:r>
        <w:t xml:space="preserve">Payment Terms and Instructions</w:t>
      </w:r>
    </w:p>
    <w:p>
      <w:pPr>
        <w:pStyle w:val="FirstParagraph"/>
      </w:pPr>
      <w:r>
        <w:t xml:space="preserve">This Invoice is issued by the undersigned Banker of Manila Premier Banking Solutions, Philippines Manila, and is payable within thirty (30) calendar days from the Invoice date. Payment is due no later than</w:t>
      </w:r>
      <w:r>
        <w:t xml:space="preserve"> </w:t>
      </w:r>
      <w:r>
        <w:rPr>
          <w:bCs/>
          <w:b/>
        </w:rPr>
        <w:t xml:space="preserve">July 15, 2025</w:t>
      </w:r>
      <w:r>
        <w:t xml:space="preserve">.</w:t>
      </w:r>
    </w:p>
    <w:p>
      <w:pPr>
        <w:pStyle w:val="BodyText"/>
      </w:pPr>
      <w:r>
        <w:rPr>
          <w:bCs/>
          <w:b/>
        </w:rPr>
        <w:t xml:space="preserve">Payment Methods Accepted:</w:t>
      </w:r>
    </w:p>
    <w:p>
      <w:pPr>
        <w:numPr>
          <w:ilvl w:val="0"/>
          <w:numId w:val="1001"/>
        </w:numPr>
        <w:pStyle w:val="Compact"/>
      </w:pPr>
      <w:r>
        <w:t xml:space="preserve">Bank Transfer to: BDO Unibank, Inc. – Account No. 1000-4567-8901 (Philippines Manila Main Branch)</w:t>
      </w:r>
    </w:p>
    <w:p>
      <w:pPr>
        <w:numPr>
          <w:ilvl w:val="0"/>
          <w:numId w:val="1001"/>
        </w:numPr>
        <w:pStyle w:val="Compact"/>
      </w:pPr>
      <w:r>
        <w:t xml:space="preserve">Check payable to: Manila Premier Banking Solutions, Inc.</w:t>
      </w:r>
    </w:p>
    <w:p>
      <w:pPr>
        <w:numPr>
          <w:ilvl w:val="0"/>
          <w:numId w:val="1001"/>
        </w:numPr>
        <w:pStyle w:val="Compact"/>
      </w:pPr>
      <w:r>
        <w:t xml:space="preserve">Online Banking via the client's corporate portal</w:t>
      </w:r>
    </w:p>
    <w:p>
      <w:pPr>
        <w:pStyle w:val="FirstParagraph"/>
      </w:pPr>
      <w:r>
        <w:t xml:space="preserve">A late payment penalty of 1.5% per month shall be applied to any outstanding balance after the due date, in accordance with the service agreement and applicable Philippine banking regulations.</w:t>
      </w:r>
    </w:p>
    <w:bookmarkEnd w:id="24"/>
    <w:bookmarkStart w:id="25" w:name="notes-and-remarks"/>
    <w:p>
      <w:pPr>
        <w:pStyle w:val="Heading3"/>
      </w:pPr>
      <w:r>
        <w:t xml:space="preserve">Notes and Remarks</w:t>
      </w:r>
    </w:p>
    <w:p>
      <w:pPr>
        <w:pStyle w:val="FirstParagraph"/>
      </w:pPr>
      <w:r>
        <w:t xml:space="preserve">This Invoice covers all professional services rendered by the assigned Banker during the service period of May 2025. All services were performed in compliance with the Bangko Sentral ng Pilipinas (BSP) regulations, the Securities and Exchange Commission (SEC) guidelines, and the Bureau of Internal Revenue (BIR) tax requirements applicable in Philippines Manila.</w:t>
      </w:r>
    </w:p>
    <w:p>
      <w:pPr>
        <w:pStyle w:val="BodyText"/>
      </w:pPr>
      <w:r>
        <w:t xml:space="preserve">The Banker confirms that all trade finance instruments, loan restructuring proposals, and FX hedging strategies outlined in this Invoice have been reviewed and approved by the Risk Management Committee of Manila Premier Banking Solutions. All compliance documentation has been filed with the relevant Philippine regulatory authorities.</w:t>
      </w:r>
    </w:p>
    <w:p>
      <w:pPr>
        <w:pStyle w:val="BodyText"/>
      </w:pPr>
      <w:r>
        <w:t xml:space="preserve">Should the client require additional banking services, a supplementary Invoice will be issued by the Banker within five (5) business days. For inquiries regarding this Invoice, please contact the undersigned Banker directly at the Philippines Manila office or through the corporate billing department.</w:t>
      </w:r>
    </w:p>
    <w:p>
      <w:pPr>
        <w:pStyle w:val="BodyText"/>
      </w:pPr>
      <w:r>
        <w:t xml:space="preserve">This document serves as the official Invoice for accounting, tax, and audit purposes. Please retain this Invoice along with the corresponding Official Receipt (OR) issued upon payment for your corporate records in Philippines Manila.</w:t>
      </w:r>
    </w:p>
    <w:bookmarkEnd w:id="25"/>
    <w:p>
      <w:pPr>
        <w:pStyle w:val="BodyText"/>
      </w:pPr>
      <w:r>
        <w:rPr>
          <w:bCs/>
          <w:b/>
        </w:rPr>
        <w:t xml:space="preserve">Manila Premier Banking Solutions, Inc.</w:t>
      </w:r>
      <w:r>
        <w:t xml:space="preserve"> </w:t>
      </w:r>
      <w:r>
        <w:t xml:space="preserve">| Philippines Manila, 1226</w:t>
      </w:r>
    </w:p>
    <w:p>
      <w:pPr>
        <w:pStyle w:val="BodyText"/>
      </w:pPr>
      <w:r>
        <w:t xml:space="preserve">Registered with the Securities and Exchange Commission of the Philippines | BSP License No. 0001-2015</w:t>
      </w:r>
    </w:p>
    <w:p>
      <w:pPr>
        <w:pStyle w:val="BodyText"/>
      </w:pPr>
      <w:r>
        <w:t xml:space="preserve">This Invoice was generated electronically and is valid without a physical signature. For verification, contact billing@manilapremierbank.com</w:t>
      </w:r>
    </w:p>
    <w:p>
      <w:pPr>
        <w:pStyle w:val="BodyText"/>
      </w:pPr>
      <w:r>
        <w:t xml:space="preserve">© 2025 Manila Premier Banking Solutions, Inc. All Rights Reserved. | Invoice MPS-2025-04872 | Philippines Manila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Banker Services - Philippines Manila</dc:title>
  <dc:creator/>
  <dc:language>en</dc:language>
  <cp:keywords/>
  <dcterms:created xsi:type="dcterms:W3CDTF">2026-10-10T06:14:04Z</dcterms:created>
  <dcterms:modified xsi:type="dcterms:W3CDTF">2026-10-10T06:14:04Z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