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Banker</w:t>
      </w:r>
      <w:r>
        <w:t xml:space="preserve"> </w:t>
      </w:r>
      <w:r>
        <w:t xml:space="preserve">Services</w:t>
      </w:r>
      <w:r>
        <w:t xml:space="preserve"> </w:t>
      </w:r>
      <w:r>
        <w:t xml:space="preserve">-</w:t>
      </w:r>
      <w:r>
        <w:t xml:space="preserve"> </w:t>
      </w:r>
      <w:r>
        <w:t xml:space="preserve">Qatar</w:t>
      </w:r>
      <w:r>
        <w:t xml:space="preserve"> </w:t>
      </w:r>
      <w:r>
        <w:t xml:space="preserve">Doha</w:t>
      </w:r>
    </w:p>
    <w:bookmarkStart w:id="20" w:name="al-rayyan-financial-advisory-llc"/>
    <w:p>
      <w:pPr>
        <w:pStyle w:val="Heading1"/>
      </w:pPr>
      <w:r>
        <w:t xml:space="preserve">Al Rayyan Financial Advisory LLC</w:t>
      </w:r>
    </w:p>
    <w:p>
      <w:pPr>
        <w:pStyle w:val="FirstParagraph"/>
      </w:pPr>
      <w:r>
        <w:t xml:space="preserve">P.O. Box 4521, Zone 29, Street 12</w:t>
      </w:r>
    </w:p>
    <w:p>
      <w:pPr>
        <w:pStyle w:val="BodyText"/>
      </w:pPr>
      <w:r>
        <w:t xml:space="preserve">Doha, State of Qatar</w:t>
      </w:r>
    </w:p>
    <w:p>
      <w:pPr>
        <w:pStyle w:val="BodyText"/>
      </w:pPr>
      <w:r>
        <w:t xml:space="preserve">Tel: +974 4455 6677 | Email: billing@alrayyanfa.qa</w:t>
      </w:r>
    </w:p>
    <w:p>
      <w:pPr>
        <w:pStyle w:val="BodyText"/>
      </w:pPr>
      <w:r>
        <w:t xml:space="preserve">Commercial Registration No: 12345678</w:t>
      </w:r>
    </w:p>
    <w:p>
      <w:pPr>
        <w:pStyle w:val="BodyText"/>
      </w:pPr>
      <w:r>
        <w:t xml:space="preserve">VAT Registration No: QV-2024-88901234</w:t>
      </w:r>
    </w:p>
    <w:bookmarkEnd w:id="20"/>
    <w:bookmarkStart w:id="21" w:name="invoice"/>
    <w:p>
      <w:pPr>
        <w:pStyle w:val="Heading2"/>
      </w:pPr>
      <w:r>
        <w:t xml:space="preserve">INVOICE</w:t>
      </w:r>
    </w:p>
    <w:p>
      <w:pPr>
        <w:pStyle w:val="FirstParagraph"/>
      </w:pPr>
      <w:r>
        <w:t xml:space="preserve">Banker Services</w:t>
      </w:r>
    </w:p>
    <w:p>
      <w:pPr>
        <w:pStyle w:val="BodyText"/>
      </w:pPr>
      <w:r>
        <w:t xml:space="preserve">Invoice No: INV-QD-2025-00487</w:t>
      </w:r>
    </w:p>
    <w:p>
      <w:pPr>
        <w:pStyle w:val="BodyText"/>
      </w:pPr>
      <w:r>
        <w:t xml:space="preserve">Date of Issue: 15 June 2025</w:t>
      </w:r>
    </w:p>
    <w:p>
      <w:pPr>
        <w:pStyle w:val="BodyText"/>
      </w:pPr>
      <w:r>
        <w:t xml:space="preserve">Due Date: 15 July 2025</w:t>
      </w:r>
    </w:p>
    <w:bookmarkEnd w:id="21"/>
    <w:bookmarkStart w:id="22" w:name="billed-to"/>
    <w:p>
      <w:pPr>
        <w:pStyle w:val="Heading3"/>
      </w:pPr>
      <w:r>
        <w:t xml:space="preserve">Billed To</w:t>
      </w:r>
    </w:p>
    <w:p>
      <w:pPr>
        <w:pStyle w:val="FirstParagraph"/>
      </w:pPr>
      <w:r>
        <w:rPr>
          <w:bCs/>
          <w:b/>
        </w:rPr>
        <w:t xml:space="preserve">Qatar National Development Bank</w:t>
      </w:r>
    </w:p>
    <w:p>
      <w:pPr>
        <w:pStyle w:val="BodyText"/>
      </w:pPr>
      <w:r>
        <w:t xml:space="preserve">Attn: Mr. Khalid Al-Mansoori</w:t>
      </w:r>
    </w:p>
    <w:p>
      <w:pPr>
        <w:pStyle w:val="BodyText"/>
      </w:pPr>
      <w:r>
        <w:t xml:space="preserve">Head of Corporate Banking Division</w:t>
      </w:r>
    </w:p>
    <w:p>
      <w:pPr>
        <w:pStyle w:val="BodyText"/>
      </w:pPr>
      <w:r>
        <w:t xml:space="preserve">Sheikh Jassim Avenue, Doha</w:t>
      </w:r>
    </w:p>
    <w:p>
      <w:pPr>
        <w:pStyle w:val="BodyText"/>
      </w:pPr>
      <w:r>
        <w:t xml:space="preserve">State of Qatar</w:t>
      </w:r>
    </w:p>
    <w:p>
      <w:pPr>
        <w:pStyle w:val="BodyText"/>
      </w:pPr>
      <w:r>
        <w:t xml:space="preserve">VAT No: QV-2023-55678901</w:t>
      </w:r>
    </w:p>
    <w:bookmarkEnd w:id="22"/>
    <w:bookmarkStart w:id="23" w:name="service-provider"/>
    <w:p>
      <w:pPr>
        <w:pStyle w:val="Heading3"/>
      </w:pPr>
      <w:r>
        <w:t xml:space="preserve">Service Provider</w:t>
      </w:r>
    </w:p>
    <w:p>
      <w:pPr>
        <w:pStyle w:val="FirstParagraph"/>
      </w:pPr>
      <w:r>
        <w:rPr>
          <w:bCs/>
          <w:b/>
        </w:rPr>
        <w:t xml:space="preserve">Mr. Ahmed bin Saeed Al-Kuwari</w:t>
      </w:r>
    </w:p>
    <w:p>
      <w:pPr>
        <w:pStyle w:val="BodyText"/>
      </w:pPr>
      <w:r>
        <w:t xml:space="preserve">Senior Banker &amp; Financial Consultant</w:t>
      </w:r>
    </w:p>
    <w:p>
      <w:pPr>
        <w:pStyle w:val="BodyText"/>
      </w:pPr>
      <w:r>
        <w:t xml:space="preserve">Licensed by Qatar Central Bank</w:t>
      </w:r>
    </w:p>
    <w:p>
      <w:pPr>
        <w:pStyle w:val="BodyText"/>
      </w:pPr>
      <w:r>
        <w:t xml:space="preserve">License No: QCB-BNK-2021-00342</w:t>
      </w:r>
    </w:p>
    <w:p>
      <w:pPr>
        <w:pStyle w:val="BodyText"/>
      </w:pPr>
      <w:r>
        <w:t xml:space="preserve">Based in Doha, Qatar</w:t>
      </w:r>
    </w:p>
    <w:p>
      <w:pPr>
        <w:pStyle w:val="BodyText"/>
      </w:pPr>
      <w:r>
        <w:t xml:space="preserve">Mobile: +974 5512 3456</w:t>
      </w:r>
    </w:p>
    <w:bookmarkEnd w:id="23"/>
    <w:bookmarkStart w:id="24" w:name="X1fbbfa14b911a3a038a74b2b8977afdcc1d701e"/>
    <w:p>
      <w:pPr>
        <w:pStyle w:val="Heading3"/>
      </w:pPr>
      <w:r>
        <w:t xml:space="preserve">Invoice Line Items – Banker Professional Services Rendered in Qatar Doha</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Banker Services</w:t>
            </w:r>
          </w:p>
        </w:tc>
        <w:tc>
          <w:tcPr/>
          <w:p>
            <w:pPr>
              <w:pStyle w:val="Compact"/>
              <w:jc w:val="left"/>
            </w:pPr>
            <w:r>
              <w:t xml:space="preserve">Date</w:t>
            </w:r>
          </w:p>
        </w:tc>
        <w:tc>
          <w:tcPr/>
          <w:p>
            <w:pPr>
              <w:pStyle w:val="Compact"/>
              <w:jc w:val="left"/>
            </w:pPr>
            <w:r>
              <w:t xml:space="preserve">Hours</w:t>
            </w:r>
          </w:p>
        </w:tc>
        <w:tc>
          <w:tcPr/>
          <w:p>
            <w:pPr>
              <w:pStyle w:val="Compact"/>
              <w:jc w:val="left"/>
            </w:pPr>
            <w:r>
              <w:t xml:space="preserve">Rate (QAR)</w:t>
            </w:r>
          </w:p>
        </w:tc>
        <w:tc>
          <w:tcPr/>
          <w:p>
            <w:pPr>
              <w:pStyle w:val="Compact"/>
              <w:jc w:val="left"/>
            </w:pPr>
            <w:r>
              <w:t xml:space="preserve">Amount (QAR)</w:t>
            </w:r>
          </w:p>
        </w:tc>
      </w:tr>
      <w:tr>
        <w:tc>
          <w:tcPr/>
          <w:p>
            <w:pPr>
              <w:pStyle w:val="Compact"/>
              <w:jc w:val="left"/>
            </w:pPr>
            <w:r>
              <w:t xml:space="preserve">01</w:t>
            </w:r>
          </w:p>
        </w:tc>
        <w:tc>
          <w:tcPr/>
          <w:p>
            <w:pPr>
              <w:pStyle w:val="Compact"/>
              <w:jc w:val="left"/>
            </w:pPr>
            <w:r>
              <w:t xml:space="preserve">Corporate banking strategy consultation for Q3 fiscal planning. The Banker conducted a comprehensive review of the client's treasury operations and provided advisory on liquidity management within the Qatar Doha financial district.</w:t>
            </w:r>
          </w:p>
        </w:tc>
        <w:tc>
          <w:tcPr/>
          <w:p>
            <w:pPr>
              <w:pStyle w:val="Compact"/>
              <w:jc w:val="left"/>
            </w:pPr>
            <w:r>
              <w:t xml:space="preserve">02 Jun 2025</w:t>
            </w:r>
          </w:p>
        </w:tc>
        <w:tc>
          <w:tcPr/>
          <w:p>
            <w:pPr>
              <w:pStyle w:val="Compact"/>
              <w:jc w:val="left"/>
            </w:pPr>
            <w:r>
              <w:t xml:space="preserve">8.0</w:t>
            </w:r>
          </w:p>
        </w:tc>
        <w:tc>
          <w:tcPr/>
          <w:p>
            <w:pPr>
              <w:pStyle w:val="Compact"/>
              <w:jc w:val="left"/>
            </w:pPr>
            <w:r>
              <w:t xml:space="preserve">1,200.00</w:t>
            </w:r>
          </w:p>
        </w:tc>
        <w:tc>
          <w:tcPr/>
          <w:p>
            <w:pPr>
              <w:pStyle w:val="Compact"/>
              <w:jc w:val="left"/>
            </w:pPr>
            <w:r>
              <w:t xml:space="preserve">9,600.00</w:t>
            </w:r>
          </w:p>
        </w:tc>
      </w:tr>
      <w:tr>
        <w:tc>
          <w:tcPr/>
          <w:p>
            <w:pPr>
              <w:pStyle w:val="Compact"/>
              <w:jc w:val="left"/>
            </w:pPr>
            <w:r>
              <w:t xml:space="preserve">02</w:t>
            </w:r>
          </w:p>
        </w:tc>
        <w:tc>
          <w:tcPr/>
          <w:p>
            <w:pPr>
              <w:pStyle w:val="Compact"/>
              <w:jc w:val="left"/>
            </w:pPr>
            <w:r>
              <w:t xml:space="preserve">Regulatory compliance audit support. The Banker assisted the compliance team in preparing documentation for the Qatar Central Bank annual inspection, ensuring all banking operations in Qatar Doha met the latest regulatory standards.</w:t>
            </w:r>
          </w:p>
        </w:tc>
        <w:tc>
          <w:tcPr/>
          <w:p>
            <w:pPr>
              <w:pStyle w:val="Compact"/>
              <w:jc w:val="left"/>
            </w:pPr>
            <w:r>
              <w:t xml:space="preserve">05 Jun 2025</w:t>
            </w:r>
          </w:p>
        </w:tc>
        <w:tc>
          <w:tcPr/>
          <w:p>
            <w:pPr>
              <w:pStyle w:val="Compact"/>
              <w:jc w:val="left"/>
            </w:pPr>
            <w:r>
              <w:t xml:space="preserve">12.0</w:t>
            </w:r>
          </w:p>
        </w:tc>
        <w:tc>
          <w:tcPr/>
          <w:p>
            <w:pPr>
              <w:pStyle w:val="Compact"/>
              <w:jc w:val="left"/>
            </w:pPr>
            <w:r>
              <w:t xml:space="preserve">1,200.00</w:t>
            </w:r>
          </w:p>
        </w:tc>
        <w:tc>
          <w:tcPr/>
          <w:p>
            <w:pPr>
              <w:pStyle w:val="Compact"/>
              <w:jc w:val="left"/>
            </w:pPr>
            <w:r>
              <w:t xml:space="preserve">14,400.00</w:t>
            </w:r>
          </w:p>
        </w:tc>
      </w:tr>
      <w:tr>
        <w:tc>
          <w:tcPr/>
          <w:p>
            <w:pPr>
              <w:pStyle w:val="Compact"/>
              <w:jc w:val="left"/>
            </w:pPr>
            <w:r>
              <w:t xml:space="preserve">03</w:t>
            </w:r>
          </w:p>
        </w:tc>
        <w:tc>
          <w:tcPr/>
          <w:p>
            <w:pPr>
              <w:pStyle w:val="Compact"/>
              <w:jc w:val="left"/>
            </w:pPr>
            <w:r>
              <w:t xml:space="preserve">Trade finance structuring and letter of credit advisory. The Banker designed a multi-currency trade finance facility for the client's import-export operations across the Gulf region, with primary settlement in Qatar Doha.</w:t>
            </w:r>
          </w:p>
        </w:tc>
        <w:tc>
          <w:tcPr/>
          <w:p>
            <w:pPr>
              <w:pStyle w:val="Compact"/>
              <w:jc w:val="left"/>
            </w:pPr>
            <w:r>
              <w:t xml:space="preserve">09 Jun 2025</w:t>
            </w:r>
          </w:p>
        </w:tc>
        <w:tc>
          <w:tcPr/>
          <w:p>
            <w:pPr>
              <w:pStyle w:val="Compact"/>
              <w:jc w:val="left"/>
            </w:pPr>
            <w:r>
              <w:t xml:space="preserve">10.0</w:t>
            </w:r>
          </w:p>
        </w:tc>
        <w:tc>
          <w:tcPr/>
          <w:p>
            <w:pPr>
              <w:pStyle w:val="Compact"/>
              <w:jc w:val="left"/>
            </w:pPr>
            <w:r>
              <w:t xml:space="preserve">1,200.00</w:t>
            </w:r>
          </w:p>
        </w:tc>
        <w:tc>
          <w:tcPr/>
          <w:p>
            <w:pPr>
              <w:pStyle w:val="Compact"/>
              <w:jc w:val="left"/>
            </w:pPr>
            <w:r>
              <w:t xml:space="preserve">12,000.00</w:t>
            </w:r>
          </w:p>
        </w:tc>
      </w:tr>
      <w:tr>
        <w:tc>
          <w:tcPr/>
          <w:p>
            <w:pPr>
              <w:pStyle w:val="Compact"/>
              <w:jc w:val="left"/>
            </w:pPr>
            <w:r>
              <w:t xml:space="preserve">04</w:t>
            </w:r>
          </w:p>
        </w:tc>
        <w:tc>
          <w:tcPr/>
          <w:p>
            <w:pPr>
              <w:pStyle w:val="Compact"/>
              <w:jc w:val="left"/>
            </w:pPr>
            <w:r>
              <w:t xml:space="preserve">On-site risk assessment and credit portfolio review. The Banker performed a detailed stress-test analysis on the client's commercial loan book, identifying concentration risks and recommending diversification strategies aligned with Qatar Doha market conditions.</w:t>
            </w:r>
          </w:p>
        </w:tc>
        <w:tc>
          <w:tcPr/>
          <w:p>
            <w:pPr>
              <w:pStyle w:val="Compact"/>
              <w:jc w:val="left"/>
            </w:pPr>
            <w:r>
              <w:t xml:space="preserve">11 Jun 2025</w:t>
            </w:r>
          </w:p>
        </w:tc>
        <w:tc>
          <w:tcPr/>
          <w:p>
            <w:pPr>
              <w:pStyle w:val="Compact"/>
              <w:jc w:val="left"/>
            </w:pPr>
            <w:r>
              <w:t xml:space="preserve">6.0</w:t>
            </w:r>
          </w:p>
        </w:tc>
        <w:tc>
          <w:tcPr/>
          <w:p>
            <w:pPr>
              <w:pStyle w:val="Compact"/>
              <w:jc w:val="left"/>
            </w:pPr>
            <w:r>
              <w:t xml:space="preserve">1,200.00</w:t>
            </w:r>
          </w:p>
        </w:tc>
        <w:tc>
          <w:tcPr/>
          <w:p>
            <w:pPr>
              <w:pStyle w:val="Compact"/>
              <w:jc w:val="left"/>
            </w:pPr>
            <w:r>
              <w:t xml:space="preserve">7,200.00</w:t>
            </w:r>
          </w:p>
        </w:tc>
      </w:tr>
      <w:tr>
        <w:tc>
          <w:tcPr/>
          <w:p>
            <w:pPr>
              <w:pStyle w:val="Compact"/>
              <w:jc w:val="left"/>
            </w:pPr>
            <w:r>
              <w:t xml:space="preserve">05</w:t>
            </w:r>
          </w:p>
        </w:tc>
        <w:tc>
          <w:tcPr/>
          <w:p>
            <w:pPr>
              <w:pStyle w:val="Compact"/>
              <w:jc w:val="left"/>
            </w:pPr>
            <w:r>
              <w:t xml:space="preserve">Board presentation and executive briefing on digital banking transformation roadmap. The Banker prepared and delivered a strategic presentation to the board of directors outlining the implementation plan for next-generation core banking systems in Qatar Doha.</w:t>
            </w:r>
          </w:p>
        </w:tc>
        <w:tc>
          <w:tcPr/>
          <w:p>
            <w:pPr>
              <w:pStyle w:val="Compact"/>
              <w:jc w:val="left"/>
            </w:pPr>
            <w:r>
              <w:t xml:space="preserve">13 Jun 2025</w:t>
            </w:r>
          </w:p>
        </w:tc>
        <w:tc>
          <w:tcPr/>
          <w:p>
            <w:pPr>
              <w:pStyle w:val="Compact"/>
              <w:jc w:val="left"/>
            </w:pPr>
            <w:r>
              <w:t xml:space="preserve">4.0</w:t>
            </w:r>
          </w:p>
        </w:tc>
        <w:tc>
          <w:tcPr/>
          <w:p>
            <w:pPr>
              <w:pStyle w:val="Compact"/>
              <w:jc w:val="left"/>
            </w:pPr>
            <w:r>
              <w:t xml:space="preserve">1,500.00</w:t>
            </w:r>
          </w:p>
        </w:tc>
        <w:tc>
          <w:tcPr/>
          <w:p>
            <w:pPr>
              <w:pStyle w:val="Compact"/>
              <w:jc w:val="left"/>
            </w:pPr>
            <w:r>
              <w:t xml:space="preserve">6,000.00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49,200.00 QAR</w:t>
            </w:r>
          </w:p>
        </w:tc>
      </w:tr>
      <w:tr>
        <w:tc>
          <w:tcPr/>
          <w:p>
            <w:pPr>
              <w:pStyle w:val="Compact"/>
              <w:jc w:val="left"/>
            </w:pPr>
            <w:r>
              <w:t xml:space="preserve">VAT (5% – Qatar Standard Rate)</w:t>
            </w:r>
          </w:p>
        </w:tc>
        <w:tc>
          <w:tcPr/>
          <w:p>
            <w:pPr>
              <w:pStyle w:val="Compact"/>
              <w:jc w:val="left"/>
            </w:pPr>
            <w:r>
              <w:t xml:space="preserve">2,460.00 QAR</w:t>
            </w:r>
          </w:p>
        </w:tc>
      </w:tr>
      <w:tr>
        <w:tc>
          <w:tcPr/>
          <w:p>
            <w:pPr>
              <w:pStyle w:val="Compact"/>
              <w:jc w:val="left"/>
            </w:pPr>
            <w:r>
              <w:t xml:space="preserve">Discount (Early Payment – 2%)</w:t>
            </w:r>
          </w:p>
        </w:tc>
        <w:tc>
          <w:tcPr/>
          <w:p>
            <w:pPr>
              <w:pStyle w:val="Compact"/>
              <w:jc w:val="left"/>
            </w:pPr>
            <w:r>
              <w:t xml:space="preserve">(984.00) QAR</w:t>
            </w:r>
          </w:p>
        </w:tc>
      </w:tr>
      <w:tr>
        <w:tc>
          <w:tcPr/>
          <w:p>
            <w:pPr>
              <w:pStyle w:val="Compact"/>
              <w:jc w:val="left"/>
            </w:pPr>
            <w:r>
              <w:t xml:space="preserve">Grand Total Due</w:t>
            </w:r>
          </w:p>
        </w:tc>
        <w:tc>
          <w:tcPr/>
          <w:p>
            <w:pPr>
              <w:pStyle w:val="Compact"/>
              <w:jc w:val="left"/>
            </w:pPr>
            <w:r>
              <w:t xml:space="preserve">50,676.00 QAR</w:t>
            </w:r>
          </w:p>
        </w:tc>
      </w:tr>
    </w:tbl>
    <w:bookmarkEnd w:id="24"/>
    <w:bookmarkStart w:id="25" w:name="payment-terms-instructions"/>
    <w:p>
      <w:pPr>
        <w:pStyle w:val="Heading3"/>
      </w:pPr>
      <w:r>
        <w:t xml:space="preserve">Payment Terms &amp; Instructions</w:t>
      </w:r>
    </w:p>
    <w:p>
      <w:pPr>
        <w:pStyle w:val="FirstParagraph"/>
      </w:pPr>
      <w:r>
        <w:t xml:space="preserve">This Invoice must be settled in full within thirty (30) calendar days from the date of issue, i.e., no later than 15 July 2025. Payment is to be made in Qatari Riyals (QAR) via bank transfer to the following account:</w:t>
      </w:r>
    </w:p>
    <w:p>
      <w:pPr>
        <w:pStyle w:val="BodyText"/>
      </w:pPr>
      <w:r>
        <w:rPr>
          <w:bCs/>
          <w:b/>
        </w:rPr>
        <w:t xml:space="preserve">Bank:</w:t>
      </w:r>
      <w:r>
        <w:t xml:space="preserve"> </w:t>
      </w:r>
      <w:r>
        <w:t xml:space="preserve">Qatar National Bank, Doha Main Branch</w:t>
      </w:r>
    </w:p>
    <w:p>
      <w:pPr>
        <w:pStyle w:val="BodyText"/>
      </w:pPr>
      <w:r>
        <w:rPr>
          <w:bCs/>
          <w:b/>
        </w:rPr>
        <w:t xml:space="preserve">Account Name:</w:t>
      </w:r>
      <w:r>
        <w:t xml:space="preserve"> </w:t>
      </w:r>
      <w:r>
        <w:t xml:space="preserve">Al Rayyan Financial Advisory LLC</w:t>
      </w:r>
    </w:p>
    <w:p>
      <w:pPr>
        <w:pStyle w:val="BodyText"/>
      </w:pPr>
      <w:r>
        <w:rPr>
          <w:bCs/>
          <w:b/>
        </w:rPr>
        <w:t xml:space="preserve">IBAN:</w:t>
      </w:r>
      <w:r>
        <w:t xml:space="preserve"> </w:t>
      </w:r>
      <w:r>
        <w:t xml:space="preserve">QA58QNBD0000118840603812345</w:t>
      </w:r>
    </w:p>
    <w:p>
      <w:pPr>
        <w:pStyle w:val="BodyText"/>
      </w:pPr>
      <w:r>
        <w:rPr>
          <w:bCs/>
          <w:b/>
        </w:rPr>
        <w:t xml:space="preserve">SWIFT Code:</w:t>
      </w:r>
      <w:r>
        <w:t xml:space="preserve"> </w:t>
      </w:r>
      <w:r>
        <w:t xml:space="preserve">QNBDAQDO</w:t>
      </w:r>
    </w:p>
    <w:p>
      <w:pPr>
        <w:pStyle w:val="BodyText"/>
      </w:pPr>
      <w:r>
        <w:t xml:space="preserve">Please reference the Invoice number INV-QD-2025-00487 in all payment communications. Late payments are subject to a penalty of 1.5% per month as per Qatar commercial law. The Banker reserves the right to suspend ongoing services if this Invoice remains outstanding beyond the due date.</w:t>
      </w:r>
    </w:p>
    <w:bookmarkEnd w:id="25"/>
    <w:bookmarkStart w:id="26" w:name="important-notes-regarding-this-invoice"/>
    <w:p>
      <w:pPr>
        <w:pStyle w:val="Heading3"/>
      </w:pPr>
      <w:r>
        <w:t xml:space="preserve">Important Notes Regarding This Invoice</w:t>
      </w:r>
    </w:p>
    <w:p>
      <w:pPr>
        <w:pStyle w:val="FirstParagraph"/>
      </w:pPr>
      <w:r>
        <w:t xml:space="preserve">1. This Invoice has been prepared in accordance with the Qatar Tax Authority regulations and the Qatar Central Bank guidelines for professional banking services rendered in Qatar Doha.</w:t>
      </w:r>
    </w:p>
    <w:p>
      <w:pPr>
        <w:pStyle w:val="BodyText"/>
      </w:pPr>
      <w:r>
        <w:t xml:space="preserve">2. All services described herein were personally delivered by the undersigned Banker, Mr. Ahmed bin Saeed Al-Kuwari, who holds a valid professional license issued by the Qatar Central Bank for the practice of banking advisory in the State of Qatar.</w:t>
      </w:r>
    </w:p>
    <w:p>
      <w:pPr>
        <w:pStyle w:val="BodyText"/>
      </w:pPr>
      <w:r>
        <w:t xml:space="preserve">3. The rates quoted in this Invoice are exclusive of any travel, accommodation, or out-of-pocket expenses, which have been absorbed by the Banker as a professional courtesy for clients operating within the Qatar Doha metropolitan area.</w:t>
      </w:r>
    </w:p>
    <w:p>
      <w:pPr>
        <w:pStyle w:val="BodyText"/>
      </w:pPr>
      <w:r>
        <w:t xml:space="preserve">4. This Invoice constitutes a legally binding document under the laws of the State of Qatar. Any disputes arising from this Invoice shall be subject to the exclusive jurisdiction of the courts of Doha, Qatar.</w:t>
      </w:r>
    </w:p>
    <w:p>
      <w:pPr>
        <w:pStyle w:val="BodyText"/>
      </w:pPr>
      <w:r>
        <w:t xml:space="preserve">5. A duplicate copy of this Invoice may be requested from the billing department at billing@alrayyanfa.qa. The original signed Invoice must be retained by the client for a minimum period of ten (10) years in compliance with Qatar commercial record-keeping regulations.</w:t>
      </w:r>
    </w:p>
    <w:bookmarkEnd w:id="26"/>
    <w:p>
      <w:pPr>
        <w:pStyle w:val="BodyText"/>
      </w:pPr>
      <w:r>
        <w:rPr>
          <w:bCs/>
          <w:b/>
        </w:rPr>
        <w:t xml:space="preserve">Al Rayyan Financial Advisory LLC</w:t>
      </w:r>
      <w:r>
        <w:t xml:space="preserve"> </w:t>
      </w:r>
      <w:r>
        <w:t xml:space="preserve">– Professional Banker Services in Qatar Doha</w:t>
      </w:r>
    </w:p>
    <w:p>
      <w:pPr>
        <w:pStyle w:val="BodyText"/>
      </w:pPr>
      <w:r>
        <w:t xml:space="preserve">This Invoice was generated electronically and is valid without a physical signature. For verification, contact the issuing Banker directly.</w:t>
      </w:r>
    </w:p>
    <w:p>
      <w:pPr>
        <w:pStyle w:val="BodyText"/>
      </w:pPr>
      <w:r>
        <w:t xml:space="preserve">Page 1 of 1 | Invoice INV-QD-2025-00487 | Issued in Doha, Qatar</w:t>
      </w:r>
    </w:p>
    <w:p>
      <w:pPr>
        <w:pStyle w:val="BodyText"/>
      </w:pPr>
      <w:r>
        <w:t xml:space="preserve">© 2025 Al Rayyan Financial Advisory LLC. All rights reserved. This document is the property of the issuing Banker and the client named herein. Unauthorized reproduction or distribution of this Invoice is strictly prohibited under Qatar intellectual property law.</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Banker Services - Qatar Doha</dc:title>
  <dc:creator/>
  <dc:language>en</dc:language>
  <cp:keywords/>
  <dcterms:created xsi:type="dcterms:W3CDTF">2026-10-10T09:04:58Z</dcterms:created>
  <dcterms:modified xsi:type="dcterms:W3CDTF">2026-10-10T09:04:58Z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