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invoice"/>
    <w:p>
      <w:pPr>
        <w:pStyle w:val="Heading1"/>
      </w:pPr>
      <w:r>
        <w:t xml:space="preserve">INVOICE</w:t>
      </w:r>
    </w:p>
    <w:p>
      <w:pPr>
        <w:pStyle w:val="FirstParagraph"/>
      </w:pPr>
      <w:r>
        <w:t xml:space="preserve">Professional Banker Services — Russia Saint Petersburg</w:t>
      </w:r>
    </w:p>
    <w:p>
      <w:pPr>
        <w:pStyle w:val="BodyText"/>
      </w:pPr>
      <w:r>
        <w:t xml:space="preserve">Invoice Reference: RSP-BNK-2025-04782</w:t>
      </w:r>
    </w:p>
    <w:p>
      <w:pPr>
        <w:pStyle w:val="BodyText"/>
      </w:pPr>
      <w:r>
        <w:t xml:space="preserve">OFFICIAL INVOICE DOCUMENT</w:t>
      </w:r>
    </w:p>
    <w:bookmarkEnd w:id="20"/>
    <w:bookmarkStart w:id="21" w:name="issued-by-banker"/>
    <w:p>
      <w:pPr>
        <w:pStyle w:val="Heading3"/>
      </w:pPr>
      <w:r>
        <w:t xml:space="preserve">Issued By (Banker)</w:t>
      </w:r>
    </w:p>
    <w:p>
      <w:pPr>
        <w:pStyle w:val="FirstParagraph"/>
      </w:pPr>
      <w:r>
        <w:rPr>
          <w:bCs/>
          <w:b/>
        </w:rPr>
        <w:t xml:space="preserve">Alexander V. Petrov</w:t>
      </w:r>
    </w:p>
    <w:p>
      <w:pPr>
        <w:pStyle w:val="BodyText"/>
      </w:pPr>
      <w:r>
        <w:t xml:space="preserve">Senior Banker &amp; Financial Consultant</w:t>
      </w:r>
    </w:p>
    <w:p>
      <w:pPr>
        <w:pStyle w:val="BodyText"/>
      </w:pPr>
      <w:r>
        <w:t xml:space="preserve">Petersburg Financial Advisory Group LLC</w:t>
      </w:r>
    </w:p>
    <w:p>
      <w:pPr>
        <w:pStyle w:val="BodyText"/>
      </w:pPr>
      <w:r>
        <w:t xml:space="preserve">12 Nevsky Prospekt, Office 417</w:t>
      </w:r>
    </w:p>
    <w:p>
      <w:pPr>
        <w:pStyle w:val="BodyText"/>
      </w:pPr>
      <w:r>
        <w:t xml:space="preserve">Russia Saint Petersburg, 191025</w:t>
      </w:r>
    </w:p>
    <w:p>
      <w:pPr>
        <w:pStyle w:val="BodyText"/>
      </w:pPr>
      <w:r>
        <w:t xml:space="preserve">Tax ID (INN): 7805432198</w:t>
      </w:r>
    </w:p>
    <w:p>
      <w:pPr>
        <w:pStyle w:val="BodyText"/>
      </w:pPr>
      <w:r>
        <w:t xml:space="preserve">Registration No.: 1157800045213</w:t>
      </w:r>
    </w:p>
    <w:p>
      <w:pPr>
        <w:pStyle w:val="BodyText"/>
      </w:pPr>
      <w:r>
        <w:t xml:space="preserve">Email: a.petrov@petersburg-fag.ru</w:t>
      </w:r>
    </w:p>
    <w:p>
      <w:pPr>
        <w:pStyle w:val="BodyText"/>
      </w:pPr>
      <w:r>
        <w:t xml:space="preserve">Phone: +7 (812) 555-0147</w:t>
      </w:r>
    </w:p>
    <w:bookmarkEnd w:id="21"/>
    <w:bookmarkStart w:id="22" w:name="billed-to-client"/>
    <w:p>
      <w:pPr>
        <w:pStyle w:val="Heading3"/>
      </w:pPr>
      <w:r>
        <w:t xml:space="preserve">Billed To (Client)</w:t>
      </w:r>
    </w:p>
    <w:p>
      <w:pPr>
        <w:pStyle w:val="FirstParagraph"/>
      </w:pPr>
      <w:r>
        <w:rPr>
          <w:bCs/>
          <w:b/>
        </w:rPr>
        <w:t xml:space="preserve">Northwind Trading Company OOO</w:t>
      </w:r>
    </w:p>
    <w:p>
      <w:pPr>
        <w:pStyle w:val="BodyText"/>
      </w:pPr>
      <w:r>
        <w:t xml:space="preserve">Attn: Director of Finance, Maria K. Volkova</w:t>
      </w:r>
    </w:p>
    <w:p>
      <w:pPr>
        <w:pStyle w:val="BodyText"/>
      </w:pPr>
      <w:r>
        <w:t xml:space="preserve">45 Liteyny Avenue, Floor 8</w:t>
      </w:r>
    </w:p>
    <w:p>
      <w:pPr>
        <w:pStyle w:val="BodyText"/>
      </w:pPr>
      <w:r>
        <w:t xml:space="preserve">Russia Saint Petersburg, 191011</w:t>
      </w:r>
    </w:p>
    <w:p>
      <w:pPr>
        <w:pStyle w:val="BodyText"/>
      </w:pPr>
      <w:r>
        <w:t xml:space="preserve">Tax ID (INN): 7811987654</w:t>
      </w:r>
    </w:p>
    <w:p>
      <w:pPr>
        <w:pStyle w:val="BodyText"/>
      </w:pPr>
      <w:r>
        <w:t xml:space="preserve">Registration No.: 1147800123456</w:t>
      </w:r>
    </w:p>
    <w:p>
      <w:pPr>
        <w:pStyle w:val="BodyText"/>
      </w:pPr>
      <w:r>
        <w:t xml:space="preserve">Email: finance@northwind-trading.ru</w:t>
      </w:r>
    </w:p>
    <w:p>
      <w:pPr>
        <w:pStyle w:val="BodyText"/>
      </w:pPr>
      <w:r>
        <w:t xml:space="preserve">Phone: +7 (812) 333-8821</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Russian Ruble (RUB)</w:t>
      </w:r>
    </w:p>
    <w:p>
      <w:pPr>
        <w:pStyle w:val="BodyText"/>
      </w:pPr>
      <w:r>
        <w:rPr>
          <w:bCs/>
          <w:b/>
        </w:rPr>
        <w:t xml:space="preserve">Invoice Status:</w:t>
      </w:r>
      <w:r>
        <w:t xml:space="preserve"> </w:t>
      </w:r>
      <w:r>
        <w:t xml:space="preserve">Pending Payment</w:t>
      </w:r>
    </w:p>
    <w:bookmarkEnd w:id="23"/>
    <w:bookmarkStart w:id="24" w:name="service-period"/>
    <w:p>
      <w:pPr>
        <w:pStyle w:val="Heading3"/>
      </w:pPr>
      <w:r>
        <w:t xml:space="preserve">Service Period</w:t>
      </w:r>
    </w:p>
    <w:p>
      <w:pPr>
        <w:pStyle w:val="FirstParagraph"/>
      </w:pPr>
      <w:r>
        <w:rPr>
          <w:bCs/>
          <w:b/>
        </w:rPr>
        <w:t xml:space="preserve">Start Date:</w:t>
      </w:r>
      <w:r>
        <w:t xml:space="preserve"> </w:t>
      </w:r>
      <w:r>
        <w:t xml:space="preserve">1 June 2025</w:t>
      </w:r>
    </w:p>
    <w:p>
      <w:pPr>
        <w:pStyle w:val="BodyText"/>
      </w:pPr>
      <w:r>
        <w:rPr>
          <w:bCs/>
          <w:b/>
        </w:rPr>
        <w:t xml:space="preserve">End Date:</w:t>
      </w:r>
      <w:r>
        <w:t xml:space="preserve"> </w:t>
      </w:r>
      <w:r>
        <w:t xml:space="preserve">30 June 2025</w:t>
      </w:r>
    </w:p>
    <w:p>
      <w:pPr>
        <w:pStyle w:val="BodyText"/>
      </w:pPr>
      <w:r>
        <w:rPr>
          <w:bCs/>
          <w:b/>
        </w:rPr>
        <w:t xml:space="preserve">Location of Service:</w:t>
      </w:r>
      <w:r>
        <w:t xml:space="preserve"> </w:t>
      </w:r>
      <w:r>
        <w:t xml:space="preserve">Russia Saint Petersburg</w:t>
      </w:r>
    </w:p>
    <w:p>
      <w:pPr>
        <w:pStyle w:val="BodyText"/>
      </w:pPr>
      <w:r>
        <w:rPr>
          <w:bCs/>
          <w:b/>
        </w:rPr>
        <w:t xml:space="preserve">Engagement Type:</w:t>
      </w:r>
      <w:r>
        <w:t xml:space="preserve"> </w:t>
      </w:r>
      <w:r>
        <w:t xml:space="preserve">Retained Banker Advisory</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Banker Services</w:t>
            </w:r>
          </w:p>
        </w:tc>
        <w:tc>
          <w:tcPr/>
          <w:p>
            <w:pPr>
              <w:pStyle w:val="Compact"/>
              <w:jc w:val="left"/>
            </w:pPr>
            <w:r>
              <w:t xml:space="preserve">Service Category</w:t>
            </w:r>
          </w:p>
        </w:tc>
        <w:tc>
          <w:tcPr/>
          <w:p>
            <w:pPr>
              <w:pStyle w:val="Compact"/>
              <w:jc w:val="left"/>
            </w:pPr>
            <w:r>
              <w:t xml:space="preserve">Hours / Units</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Comprehensive corporate banking strategy review and restructuring of credit facilities for Northwind Trading Company, conducted by the assigned Banker at the Russia Saint Petersburg office.</w:t>
            </w:r>
          </w:p>
        </w:tc>
        <w:tc>
          <w:tcPr/>
          <w:p>
            <w:pPr>
              <w:pStyle w:val="Compact"/>
              <w:jc w:val="left"/>
            </w:pPr>
            <w:r>
              <w:t xml:space="preserve">Strategic Advisory</w:t>
            </w:r>
          </w:p>
        </w:tc>
        <w:tc>
          <w:tcPr/>
          <w:p>
            <w:pPr>
              <w:pStyle w:val="Compact"/>
              <w:jc w:val="left"/>
            </w:pPr>
            <w:r>
              <w:t xml:space="preserve">24 hrs</w:t>
            </w:r>
          </w:p>
        </w:tc>
        <w:tc>
          <w:tcPr/>
          <w:p>
            <w:pPr>
              <w:pStyle w:val="Compact"/>
              <w:jc w:val="left"/>
            </w:pPr>
            <w:r>
              <w:t xml:space="preserve">8,500</w:t>
            </w:r>
          </w:p>
        </w:tc>
        <w:tc>
          <w:tcPr/>
          <w:p>
            <w:pPr>
              <w:pStyle w:val="Compact"/>
              <w:jc w:val="left"/>
            </w:pPr>
            <w:r>
              <w:t xml:space="preserve">204,000.00</w:t>
            </w:r>
          </w:p>
        </w:tc>
      </w:tr>
      <w:tr>
        <w:tc>
          <w:tcPr/>
          <w:p>
            <w:pPr>
              <w:pStyle w:val="Compact"/>
              <w:jc w:val="left"/>
            </w:pPr>
            <w:r>
              <w:t xml:space="preserve">2</w:t>
            </w:r>
          </w:p>
        </w:tc>
        <w:tc>
          <w:tcPr/>
          <w:p>
            <w:pPr>
              <w:pStyle w:val="Compact"/>
              <w:jc w:val="left"/>
            </w:pPr>
            <w:r>
              <w:t xml:space="preserve">Negotiation and structuring of a multi-currency trade finance facility with Sberbank and VTB, including letter of credit arrangements and documentary collection services, managed by the Banker in Russia Saint Petersburg.</w:t>
            </w:r>
          </w:p>
        </w:tc>
        <w:tc>
          <w:tcPr/>
          <w:p>
            <w:pPr>
              <w:pStyle w:val="Compact"/>
              <w:jc w:val="left"/>
            </w:pPr>
            <w:r>
              <w:t xml:space="preserve">Trade Finance</w:t>
            </w:r>
          </w:p>
        </w:tc>
        <w:tc>
          <w:tcPr/>
          <w:p>
            <w:pPr>
              <w:pStyle w:val="Compact"/>
              <w:jc w:val="left"/>
            </w:pPr>
            <w:r>
              <w:t xml:space="preserve">16 hrs</w:t>
            </w:r>
          </w:p>
        </w:tc>
        <w:tc>
          <w:tcPr/>
          <w:p>
            <w:pPr>
              <w:pStyle w:val="Compact"/>
              <w:jc w:val="left"/>
            </w:pPr>
            <w:r>
              <w:t xml:space="preserve">9,200</w:t>
            </w:r>
          </w:p>
        </w:tc>
        <w:tc>
          <w:tcPr/>
          <w:p>
            <w:pPr>
              <w:pStyle w:val="Compact"/>
              <w:jc w:val="left"/>
            </w:pPr>
            <w:r>
              <w:t xml:space="preserve">147,200.00</w:t>
            </w:r>
          </w:p>
        </w:tc>
      </w:tr>
      <w:tr>
        <w:tc>
          <w:tcPr/>
          <w:p>
            <w:pPr>
              <w:pStyle w:val="Compact"/>
              <w:jc w:val="left"/>
            </w:pPr>
            <w:r>
              <w:t xml:space="preserve">3</w:t>
            </w:r>
          </w:p>
        </w:tc>
        <w:tc>
          <w:tcPr/>
          <w:p>
            <w:pPr>
              <w:pStyle w:val="Compact"/>
              <w:jc w:val="left"/>
            </w:pPr>
            <w:r>
              <w:t xml:space="preserve">Monthly treasury management and cash flow optimization report prepared by the Banker, covering intercompany transfers, FX hedging positions, and liquidity forecasting for the Russia Saint Petersburg operations.</w:t>
            </w:r>
          </w:p>
        </w:tc>
        <w:tc>
          <w:tcPr/>
          <w:p>
            <w:pPr>
              <w:pStyle w:val="Compact"/>
              <w:jc w:val="left"/>
            </w:pPr>
            <w:r>
              <w:t xml:space="preserve">Treasury Management</w:t>
            </w:r>
          </w:p>
        </w:tc>
        <w:tc>
          <w:tcPr/>
          <w:p>
            <w:pPr>
              <w:pStyle w:val="Compact"/>
              <w:jc w:val="left"/>
            </w:pPr>
            <w:r>
              <w:t xml:space="preserve">12 hrs</w:t>
            </w:r>
          </w:p>
        </w:tc>
        <w:tc>
          <w:tcPr/>
          <w:p>
            <w:pPr>
              <w:pStyle w:val="Compact"/>
              <w:jc w:val="left"/>
            </w:pPr>
            <w:r>
              <w:t xml:space="preserve">7,800</w:t>
            </w:r>
          </w:p>
        </w:tc>
        <w:tc>
          <w:tcPr/>
          <w:p>
            <w:pPr>
              <w:pStyle w:val="Compact"/>
              <w:jc w:val="left"/>
            </w:pPr>
            <w:r>
              <w:t xml:space="preserve">93,600.00</w:t>
            </w:r>
          </w:p>
        </w:tc>
      </w:tr>
      <w:tr>
        <w:tc>
          <w:tcPr/>
          <w:p>
            <w:pPr>
              <w:pStyle w:val="Compact"/>
              <w:jc w:val="left"/>
            </w:pPr>
            <w:r>
              <w:t xml:space="preserve">4</w:t>
            </w:r>
          </w:p>
        </w:tc>
        <w:tc>
          <w:tcPr/>
          <w:p>
            <w:pPr>
              <w:pStyle w:val="Compact"/>
              <w:jc w:val="left"/>
            </w:pPr>
            <w:r>
              <w:t xml:space="preserve">Regulatory compliance audit and preparation of documentation for the Central Bank of Russia reporting requirements, performed by the Banker in accordance with Federal Law No. 115-FZ on anti-money laundering in Russia Saint Petersburg.</w:t>
            </w:r>
          </w:p>
        </w:tc>
        <w:tc>
          <w:tcPr/>
          <w:p>
            <w:pPr>
              <w:pStyle w:val="Compact"/>
              <w:jc w:val="left"/>
            </w:pPr>
            <w:r>
              <w:t xml:space="preserve">Compliance &amp; Audit</w:t>
            </w:r>
          </w:p>
        </w:tc>
        <w:tc>
          <w:tcPr/>
          <w:p>
            <w:pPr>
              <w:pStyle w:val="Compact"/>
              <w:jc w:val="left"/>
            </w:pPr>
            <w:r>
              <w:t xml:space="preserve">20 hrs</w:t>
            </w:r>
          </w:p>
        </w:tc>
        <w:tc>
          <w:tcPr/>
          <w:p>
            <w:pPr>
              <w:pStyle w:val="Compact"/>
              <w:jc w:val="left"/>
            </w:pPr>
            <w:r>
              <w:t xml:space="preserve">8,000</w:t>
            </w:r>
          </w:p>
        </w:tc>
        <w:tc>
          <w:tcPr/>
          <w:p>
            <w:pPr>
              <w:pStyle w:val="Compact"/>
              <w:jc w:val="left"/>
            </w:pPr>
            <w:r>
              <w:t xml:space="preserve">160,000.00</w:t>
            </w:r>
          </w:p>
        </w:tc>
      </w:tr>
      <w:tr>
        <w:tc>
          <w:tcPr/>
          <w:p>
            <w:pPr>
              <w:pStyle w:val="Compact"/>
              <w:jc w:val="left"/>
            </w:pPr>
            <w:r>
              <w:t xml:space="preserve">5</w:t>
            </w:r>
          </w:p>
        </w:tc>
        <w:tc>
          <w:tcPr/>
          <w:p>
            <w:pPr>
              <w:pStyle w:val="Compact"/>
              <w:jc w:val="left"/>
            </w:pPr>
            <w:r>
              <w:t xml:space="preserve">On-site consultation and presentation to the Board of Directors regarding capital structure optimization, debt-to-equity ratio improvement, and long-term banking relationship strategy, delivered by the Banker at the client premises in Russia Saint Petersburg.</w:t>
            </w:r>
          </w:p>
        </w:tc>
        <w:tc>
          <w:tcPr/>
          <w:p>
            <w:pPr>
              <w:pStyle w:val="Compact"/>
              <w:jc w:val="left"/>
            </w:pPr>
            <w:r>
              <w:t xml:space="preserve">Executive Advisory</w:t>
            </w:r>
          </w:p>
        </w:tc>
        <w:tc>
          <w:tcPr/>
          <w:p>
            <w:pPr>
              <w:pStyle w:val="Compact"/>
              <w:jc w:val="left"/>
            </w:pPr>
            <w:r>
              <w:t xml:space="preserve">6 hrs</w:t>
            </w:r>
          </w:p>
        </w:tc>
        <w:tc>
          <w:tcPr/>
          <w:p>
            <w:pPr>
              <w:pStyle w:val="Compact"/>
              <w:jc w:val="left"/>
            </w:pPr>
            <w:r>
              <w:t xml:space="preserve">12,000</w:t>
            </w:r>
          </w:p>
        </w:tc>
        <w:tc>
          <w:tcPr/>
          <w:p>
            <w:pPr>
              <w:pStyle w:val="Compact"/>
              <w:jc w:val="left"/>
            </w:pPr>
            <w:r>
              <w:t xml:space="preserve">72,000.00</w:t>
            </w:r>
          </w:p>
        </w:tc>
      </w:tr>
      <w:tr>
        <w:tc>
          <w:tcPr/>
          <w:p>
            <w:pPr>
              <w:pStyle w:val="Compact"/>
              <w:jc w:val="left"/>
            </w:pPr>
            <w:r>
              <w:t xml:space="preserve">6</w:t>
            </w:r>
          </w:p>
        </w:tc>
        <w:tc>
          <w:tcPr/>
          <w:p>
            <w:pPr>
              <w:pStyle w:val="Compact"/>
              <w:jc w:val="left"/>
            </w:pPr>
            <w:r>
              <w:t xml:space="preserve">Preparation of a detailed feasibility study for the proposed expansion of warehouse and logistics operations in the Russia Saint Petersburg industrial zone, including projected banking needs, working capital requirements, and financing options assessed by the Banker.</w:t>
            </w:r>
          </w:p>
        </w:tc>
        <w:tc>
          <w:tcPr/>
          <w:p>
            <w:pPr>
              <w:pStyle w:val="Compact"/>
              <w:jc w:val="left"/>
            </w:pPr>
            <w:r>
              <w:t xml:space="preserve">Feasibility Study</w:t>
            </w:r>
          </w:p>
        </w:tc>
        <w:tc>
          <w:tcPr/>
          <w:p>
            <w:pPr>
              <w:pStyle w:val="Compact"/>
              <w:jc w:val="left"/>
            </w:pPr>
            <w:r>
              <w:t xml:space="preserve">18 hrs</w:t>
            </w:r>
          </w:p>
        </w:tc>
        <w:tc>
          <w:tcPr/>
          <w:p>
            <w:pPr>
              <w:pStyle w:val="Compact"/>
              <w:jc w:val="left"/>
            </w:pPr>
            <w:r>
              <w:t xml:space="preserve">8,500</w:t>
            </w:r>
          </w:p>
        </w:tc>
        <w:tc>
          <w:tcPr/>
          <w:p>
            <w:pPr>
              <w:pStyle w:val="Compact"/>
              <w:jc w:val="left"/>
            </w:pPr>
            <w:r>
              <w:t xml:space="preserve">153,000.00</w:t>
            </w:r>
          </w:p>
        </w:tc>
      </w:tr>
    </w:tbl>
    <w:p>
      <w:pPr>
        <w:pStyle w:val="BodyText"/>
      </w:pPr>
      <w:r>
        <w:t xml:space="preserve">Subtotal: 829,800.00 RUB</w:t>
      </w:r>
    </w:p>
    <w:p>
      <w:pPr>
        <w:pStyle w:val="BodyText"/>
      </w:pPr>
      <w:r>
        <w:t xml:space="preserve">VAT (20%): 165,960.00 RUB</w:t>
      </w:r>
    </w:p>
    <w:p>
      <w:pPr>
        <w:pStyle w:val="BodyText"/>
      </w:pPr>
      <w:r>
        <w:t xml:space="preserve">Grand Total: 995,760.00 RUB</w:t>
      </w:r>
    </w:p>
    <w:p>
      <w:pPr>
        <w:pStyle w:val="BodyText"/>
      </w:pPr>
      <w:r>
        <w:t xml:space="preserve">(Nine Hundred Ninety-Five Thousand Seven Hundred Sixty Russian Rubles)</w:t>
      </w:r>
    </w:p>
    <w:bookmarkStart w:id="25" w:name="terms-and-conditions-of-this-invoice"/>
    <w:p>
      <w:pPr>
        <w:pStyle w:val="Heading3"/>
      </w:pPr>
      <w:r>
        <w:t xml:space="preserve">Terms and Conditions of This Invoice</w:t>
      </w:r>
    </w:p>
    <w:p>
      <w:pPr>
        <w:numPr>
          <w:ilvl w:val="0"/>
          <w:numId w:val="1001"/>
        </w:numPr>
        <w:pStyle w:val="Compact"/>
      </w:pPr>
      <w:r>
        <w:t xml:space="preserve">This Invoice is issued by the undersigned Banker, Alexander V. Petrov, operating under the professional license of the Bankers Association of Russia Saint Petersburg (License No. BA-RSP-2019-00342).</w:t>
      </w:r>
    </w:p>
    <w:p>
      <w:pPr>
        <w:numPr>
          <w:ilvl w:val="0"/>
          <w:numId w:val="1001"/>
        </w:numPr>
        <w:pStyle w:val="Compact"/>
      </w:pPr>
      <w:r>
        <w:t xml:space="preserve">Payment for this Invoice shall be made via bank transfer to the account of Petersburg Financial Advisory Group LLC, Sberbank branch in Russia Saint Petersburg, Account No. 40702810400000012345, BIC: 044030064, within fifteen (15) calendar days from the Invoice date.</w:t>
      </w:r>
    </w:p>
    <w:p>
      <w:pPr>
        <w:numPr>
          <w:ilvl w:val="0"/>
          <w:numId w:val="1001"/>
        </w:numPr>
        <w:pStyle w:val="Compact"/>
      </w:pPr>
      <w:r>
        <w:t xml:space="preserve">All services described in this Invoice were rendered in Russia Saint Petersburg and are governed by the civil and commercial laws of the Russian Federation. Any disputes arising from this Invoice shall be resolved by the Arbitration Court of Russia Saint Petersburg.</w:t>
      </w:r>
    </w:p>
    <w:p>
      <w:pPr>
        <w:numPr>
          <w:ilvl w:val="0"/>
          <w:numId w:val="1001"/>
        </w:numPr>
        <w:pStyle w:val="Compact"/>
      </w:pPr>
      <w:r>
        <w:t xml:space="preserve">The Banker warrants that all advisory services, financial analyses, and compliance work outlined in this Invoice were performed in accordance with the professional standards established by the Central Bank of Russia and the Bankers Association of Russia Saint Petersburg.</w:t>
      </w:r>
    </w:p>
    <w:p>
      <w:pPr>
        <w:numPr>
          <w:ilvl w:val="0"/>
          <w:numId w:val="1001"/>
        </w:numPr>
        <w:pStyle w:val="Compact"/>
      </w:pPr>
      <w:r>
        <w:t xml:space="preserve">Late payment on this Invoice shall incur a penalty of 0.1% per calendar day on the outstanding balance, in accordance with Article 317.1 of the Civil Code of the Russian Federation.</w:t>
      </w:r>
    </w:p>
    <w:p>
      <w:pPr>
        <w:numPr>
          <w:ilvl w:val="0"/>
          <w:numId w:val="1001"/>
        </w:numPr>
        <w:pStyle w:val="Compact"/>
      </w:pPr>
      <w:r>
        <w:t xml:space="preserve">This Invoice constitutes the final and complete statement of services rendered by the Banker during the period specified. No additional charges beyond those itemized herein shall be applied unless a supplementary Invoice is mutually agreed upon in writing.</w:t>
      </w:r>
    </w:p>
    <w:p>
      <w:pPr>
        <w:numPr>
          <w:ilvl w:val="0"/>
          <w:numId w:val="1001"/>
        </w:numPr>
        <w:pStyle w:val="Compact"/>
      </w:pPr>
      <w:r>
        <w:t xml:space="preserve">The Banker reserves the right to retain all working papers, analyses, and reports prepared in connection with this Invoice for a period of five (5) years, in compliance with Russian record-keeping regulations applicable to financial professionals in Russia Saint Petersburg.</w:t>
      </w:r>
    </w:p>
    <w:p>
      <w:pPr>
        <w:numPr>
          <w:ilvl w:val="0"/>
          <w:numId w:val="1001"/>
        </w:numPr>
        <w:pStyle w:val="Compact"/>
      </w:pPr>
      <w:r>
        <w:t xml:space="preserve">Confidentiality: All financial data, corporate information, and banking details disclosed to the Banker in the course of preparing this Invoice and the associated services are subject to strict confidentiality under Federal Law No. 115-FZ and the professional code of conduct of the Bankers Association of Russia Saint Petersburg.</w:t>
      </w:r>
    </w:p>
    <w:bookmarkEnd w:id="25"/>
    <w:p>
      <w:pPr>
        <w:pStyle w:val="FirstParagraph"/>
      </w:pPr>
      <w:r>
        <w:rPr>
          <w:bCs/>
          <w:b/>
        </w:rPr>
        <w:t xml:space="preserve">Authorized Signatory (Banker):</w:t>
      </w:r>
    </w:p>
    <w:p>
      <w:pPr>
        <w:pStyle w:val="BodyText"/>
      </w:pPr>
      <w:r>
        <w:t xml:space="preserve">Alexander V. Petrov — Senior Banker, Petersburg Financial Advisory Group LLC</w:t>
      </w:r>
    </w:p>
    <w:p>
      <w:pPr>
        <w:pStyle w:val="BodyText"/>
      </w:pPr>
      <w:r>
        <w:t xml:space="preserve">Signature: ___________________________    Date: 15 June 2025</w:t>
      </w:r>
    </w:p>
    <w:p>
      <w:pPr>
        <w:pStyle w:val="BodyText"/>
      </w:pPr>
      <w:r>
        <w:br/>
      </w:r>
    </w:p>
    <w:p>
      <w:pPr>
        <w:pStyle w:val="BodyText"/>
      </w:pPr>
      <w:r>
        <w:t xml:space="preserve">This Invoice was generated and is valid for use in Russia Saint Petersburg. For verification, contact the Bankers Association of Russia Saint Petersburg at +7 (812) 700-5500 or visit www.bankers-rsp.ru.</w:t>
      </w:r>
    </w:p>
    <w:p>
      <w:pPr>
        <w:pStyle w:val="BodyText"/>
      </w:pPr>
      <w:r>
        <w:t xml:space="preserve">© 2025 Petersburg Financial Advisory Group LLC. All rights reserved. Invoice RSP-BNK-2025-04782.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Russia Saint Petersburg</dc:title>
  <dc:creator/>
  <dc:language>en</dc:language>
  <cp:keywords/>
  <dcterms:created xsi:type="dcterms:W3CDTF">2026-10-10T08:23:23Z</dcterms:created>
  <dcterms:modified xsi:type="dcterms:W3CDTF">2026-10-10T08:23:23Z</dcterms:modified>
</cp:coreProperties>
</file>

<file path=docProps/custom.xml><?xml version="1.0" encoding="utf-8"?>
<Properties xmlns="http://schemas.openxmlformats.org/officeDocument/2006/custom-properties" xmlns:vt="http://schemas.openxmlformats.org/officeDocument/2006/docPropsVTypes"/>
</file>