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al-riyadh-financial-advisory-group"/>
    <w:p>
      <w:pPr>
        <w:pStyle w:val="Heading1"/>
      </w:pPr>
      <w:r>
        <w:t xml:space="preserve">Al-Riyadh Financial Advisory Group</w:t>
      </w:r>
    </w:p>
    <w:p>
      <w:pPr>
        <w:pStyle w:val="FirstParagraph"/>
      </w:pPr>
      <w:r>
        <w:t xml:space="preserve">Office of the Senior Banker</w:t>
      </w:r>
    </w:p>
    <w:p>
      <w:pPr>
        <w:pStyle w:val="BodyText"/>
      </w:pPr>
      <w:r>
        <w:t xml:space="preserve">King Fahd Road, Al Olaya District</w:t>
      </w:r>
    </w:p>
    <w:p>
      <w:pPr>
        <w:pStyle w:val="BodyText"/>
      </w:pPr>
      <w:r>
        <w:t xml:space="preserve">Riyadh, 12212, Saudi Arabia</w:t>
      </w:r>
    </w:p>
    <w:p>
      <w:pPr>
        <w:pStyle w:val="BodyText"/>
      </w:pPr>
      <w:r>
        <w:t xml:space="preserve">VAT Registration No.: 310123456700003</w:t>
      </w:r>
    </w:p>
    <w:p>
      <w:pPr>
        <w:pStyle w:val="BodyText"/>
      </w:pPr>
      <w:r>
        <w:t xml:space="preserve">CR No.: 1010456789</w:t>
      </w:r>
    </w:p>
    <w:p>
      <w:pPr>
        <w:pStyle w:val="BodyText"/>
      </w:pPr>
      <w:r>
        <w:t xml:space="preserve">Phone: +966 11 456 7890 | Email: billing@alriyadhfinancial.sa</w:t>
      </w:r>
    </w:p>
    <w:bookmarkEnd w:id="20"/>
    <w:bookmarkStart w:id="21" w:name="invoice"/>
    <w:p>
      <w:pPr>
        <w:pStyle w:val="Heading2"/>
      </w:pPr>
      <w:r>
        <w:t xml:space="preserve">INVOICE</w:t>
      </w:r>
    </w:p>
    <w:p>
      <w:pPr>
        <w:pStyle w:val="FirstParagraph"/>
      </w:pPr>
      <w:r>
        <w:t xml:space="preserve">Invoice No.: INV-2025-04872</w:t>
      </w:r>
    </w:p>
    <w:p>
      <w:pPr>
        <w:pStyle w:val="BodyText"/>
      </w:pPr>
      <w:r>
        <w:t xml:space="preserve">Date of Issue: 15 June 2025</w:t>
      </w:r>
    </w:p>
    <w:p>
      <w:pPr>
        <w:pStyle w:val="BodyText"/>
      </w:pPr>
      <w:r>
        <w:t xml:space="preserve">Due Date: 15 July 2025</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Al-Nakheel Industrial Development Co.</w:t>
      </w:r>
    </w:p>
    <w:p>
      <w:pPr>
        <w:pStyle w:val="BodyText"/>
      </w:pPr>
      <w:r>
        <w:t xml:space="preserve">Attn: Mr. Khalid Al-Otaibi, CFO</w:t>
      </w:r>
    </w:p>
    <w:p>
      <w:pPr>
        <w:pStyle w:val="BodyText"/>
      </w:pPr>
      <w:r>
        <w:t xml:space="preserve">King Abdullah Financial District (KAFD)</w:t>
      </w:r>
    </w:p>
    <w:p>
      <w:pPr>
        <w:pStyle w:val="BodyText"/>
      </w:pPr>
      <w:r>
        <w:t xml:space="preserve">Riyadh, 13519, Saudi Arabia</w:t>
      </w:r>
    </w:p>
    <w:p>
      <w:pPr>
        <w:pStyle w:val="BodyText"/>
      </w:pPr>
      <w:r>
        <w:t xml:space="preserve">VAT No.: 310987654300003</w:t>
      </w:r>
    </w:p>
    <w:bookmarkEnd w:id="22"/>
    <w:bookmarkStart w:id="23" w:name="banker-details"/>
    <w:p>
      <w:pPr>
        <w:pStyle w:val="Heading3"/>
      </w:pPr>
      <w:r>
        <w:t xml:space="preserve">Banker Details</w:t>
      </w:r>
    </w:p>
    <w:p>
      <w:pPr>
        <w:pStyle w:val="FirstParagraph"/>
      </w:pPr>
      <w:r>
        <w:rPr>
          <w:bCs/>
          <w:b/>
        </w:rPr>
        <w:t xml:space="preserve">Mr. Faisal Al-Harbi, CFA, CFP</w:t>
      </w:r>
    </w:p>
    <w:p>
      <w:pPr>
        <w:pStyle w:val="BodyText"/>
      </w:pPr>
      <w:r>
        <w:t xml:space="preserve">Senior Banker &amp; Financial Advisor</w:t>
      </w:r>
    </w:p>
    <w:p>
      <w:pPr>
        <w:pStyle w:val="BodyText"/>
      </w:pPr>
      <w:r>
        <w:t xml:space="preserve">Licensed by SAMA (Saudi Central Bank)</w:t>
      </w:r>
    </w:p>
    <w:p>
      <w:pPr>
        <w:pStyle w:val="BodyText"/>
      </w:pPr>
      <w:r>
        <w:t xml:space="preserve">License No.: SAMA-BNK-2024-00342</w:t>
      </w:r>
    </w:p>
    <w:p>
      <w:pPr>
        <w:pStyle w:val="BodyText"/>
      </w:pPr>
      <w:r>
        <w:t xml:space="preserve">Specialization: Corporate Treasury &amp; Trade Finance</w:t>
      </w:r>
    </w:p>
    <w:bookmarkEnd w:id="23"/>
    <w:bookmarkStart w:id="24" w:name="payment-details"/>
    <w:p>
      <w:pPr>
        <w:pStyle w:val="Heading3"/>
      </w:pPr>
      <w:r>
        <w:t xml:space="preserve">Payment Details</w:t>
      </w:r>
    </w:p>
    <w:p>
      <w:pPr>
        <w:pStyle w:val="FirstParagraph"/>
      </w:pPr>
      <w:r>
        <w:t xml:space="preserve">Bank: Saudi National Bank (SNB)</w:t>
      </w:r>
    </w:p>
    <w:p>
      <w:pPr>
        <w:pStyle w:val="BodyText"/>
      </w:pPr>
      <w:r>
        <w:t xml:space="preserve">IBAN: SA03 8000 0000 6080 1016 7519</w:t>
      </w:r>
    </w:p>
    <w:p>
      <w:pPr>
        <w:pStyle w:val="BodyText"/>
      </w:pPr>
      <w:r>
        <w:t xml:space="preserve">SWIFT: SNAKSAJX</w:t>
      </w:r>
    </w:p>
    <w:p>
      <w:pPr>
        <w:pStyle w:val="BodyText"/>
      </w:pPr>
      <w:r>
        <w:t xml:space="preserve">Branch: Riyadh Main Branch</w:t>
      </w:r>
    </w:p>
    <w:bookmarkEnd w:id="24"/>
    <w:p>
      <w:pPr>
        <w:pStyle w:val="BodyText"/>
      </w:pPr>
      <w:r>
        <w:t xml:space="preserve">Description of Services Rendered by the Banker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Reference</w:t>
            </w:r>
          </w:p>
        </w:tc>
        <w:tc>
          <w:tcPr/>
          <w:p>
            <w:pPr>
              <w:pStyle w:val="Compact"/>
              <w:jc w:val="left"/>
            </w:pPr>
            <w:r>
              <w:t xml:space="preserve">Qty / Hours</w:t>
            </w:r>
          </w:p>
        </w:tc>
        <w:tc>
          <w:tcPr/>
          <w:p>
            <w:pPr>
              <w:pStyle w:val="Compact"/>
              <w:jc w:val="left"/>
            </w:pPr>
            <w:r>
              <w:t xml:space="preserve">Rate (SAR)</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Corporate Treasury Management Consultation – Quarterly Review of cash flow optimization strategies for Al-Nakheel Industrial Development Co. conducted by the assigned Banker at the KAFD office in Riyadh.</w:t>
            </w:r>
          </w:p>
        </w:tc>
        <w:tc>
          <w:tcPr/>
          <w:p>
            <w:pPr>
              <w:pStyle w:val="Compact"/>
              <w:jc w:val="left"/>
            </w:pPr>
            <w:r>
              <w:t xml:space="preserve">ENG-2025-Q2-01</w:t>
            </w:r>
          </w:p>
        </w:tc>
        <w:tc>
          <w:tcPr/>
          <w:p>
            <w:pPr>
              <w:pStyle w:val="Compact"/>
              <w:jc w:val="left"/>
            </w:pPr>
            <w:r>
              <w:t xml:space="preserve">12 hrs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2</w:t>
            </w:r>
          </w:p>
        </w:tc>
        <w:tc>
          <w:tcPr/>
          <w:p>
            <w:pPr>
              <w:pStyle w:val="Compact"/>
              <w:jc w:val="left"/>
            </w:pPr>
            <w:r>
              <w:t xml:space="preserve">Trade Finance Structuring – Design and documentation of a Letter of Credit (LC) facility for import operations, prepared and supervised by the Banker in compliance with UCP 600 and Saudi Central Bank (SAMA) regulations.</w:t>
            </w:r>
          </w:p>
        </w:tc>
        <w:tc>
          <w:tcPr/>
          <w:p>
            <w:pPr>
              <w:pStyle w:val="Compact"/>
              <w:jc w:val="left"/>
            </w:pPr>
            <w:r>
              <w:t xml:space="preserve">TF-2025-087</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3</w:t>
            </w:r>
          </w:p>
        </w:tc>
        <w:tc>
          <w:tcPr/>
          <w:p>
            <w:pPr>
              <w:pStyle w:val="Compact"/>
              <w:jc w:val="left"/>
            </w:pPr>
            <w:r>
              <w:t xml:space="preserve">Foreign Exchange Risk Advisory – Hedging strategy development for USD/EUR exposure related to the client's European procurement contracts. The Banker provided a comprehensive risk assessment report and executed swap arrangements.</w:t>
            </w:r>
          </w:p>
        </w:tc>
        <w:tc>
          <w:tcPr/>
          <w:p>
            <w:pPr>
              <w:pStyle w:val="Compact"/>
              <w:jc w:val="left"/>
            </w:pPr>
            <w:r>
              <w:t xml:space="preserve">FX-2025-034</w:t>
            </w:r>
          </w:p>
        </w:tc>
        <w:tc>
          <w:tcPr/>
          <w:p>
            <w:pPr>
              <w:pStyle w:val="Compact"/>
              <w:jc w:val="left"/>
            </w:pPr>
            <w:r>
              <w:t xml:space="preserve">8 hrs</w:t>
            </w:r>
          </w:p>
        </w:tc>
        <w:tc>
          <w:tcPr/>
          <w:p>
            <w:pPr>
              <w:pStyle w:val="Compact"/>
              <w:jc w:val="left"/>
            </w:pPr>
            <w:r>
              <w:t xml:space="preserve">1,000.00</w:t>
            </w:r>
          </w:p>
        </w:tc>
        <w:tc>
          <w:tcPr/>
          <w:p>
            <w:pPr>
              <w:pStyle w:val="Compact"/>
              <w:jc w:val="left"/>
            </w:pPr>
            <w:r>
              <w:t xml:space="preserve">8,000.00</w:t>
            </w:r>
          </w:p>
        </w:tc>
      </w:tr>
      <w:tr>
        <w:tc>
          <w:tcPr/>
          <w:p>
            <w:pPr>
              <w:pStyle w:val="Compact"/>
              <w:jc w:val="left"/>
            </w:pPr>
            <w:r>
              <w:t xml:space="preserve">4</w:t>
            </w:r>
          </w:p>
        </w:tc>
        <w:tc>
          <w:tcPr/>
          <w:p>
            <w:pPr>
              <w:pStyle w:val="Compact"/>
              <w:jc w:val="left"/>
            </w:pPr>
            <w:r>
              <w:t xml:space="preserve">Regulatory Compliance Review – Annual audit support for the client's banking relationships in Saudi Arabia Riyadh, ensuring full alignment with SAMA circulars, Anti-Money Laundering (AML) directives, and the Saudi Capital Market Authority (CMA) guidelines.</w:t>
            </w:r>
          </w:p>
        </w:tc>
        <w:tc>
          <w:tcPr/>
          <w:p>
            <w:pPr>
              <w:pStyle w:val="Compact"/>
              <w:jc w:val="left"/>
            </w:pPr>
            <w:r>
              <w:t xml:space="preserve">RC-2025-012</w:t>
            </w:r>
          </w:p>
        </w:tc>
        <w:tc>
          <w:tcPr/>
          <w:p>
            <w:pPr>
              <w:pStyle w:val="Compact"/>
              <w:jc w:val="left"/>
            </w:pPr>
            <w:r>
              <w:t xml:space="preserve">16 hrs</w:t>
            </w:r>
          </w:p>
        </w:tc>
        <w:tc>
          <w:tcPr/>
          <w:p>
            <w:pPr>
              <w:pStyle w:val="Compact"/>
              <w:jc w:val="left"/>
            </w:pPr>
            <w:r>
              <w:t xml:space="preserve">950.00</w:t>
            </w:r>
          </w:p>
        </w:tc>
        <w:tc>
          <w:tcPr/>
          <w:p>
            <w:pPr>
              <w:pStyle w:val="Compact"/>
              <w:jc w:val="left"/>
            </w:pPr>
            <w:r>
              <w:t xml:space="preserve">15,200.00</w:t>
            </w:r>
          </w:p>
        </w:tc>
      </w:tr>
      <w:tr>
        <w:tc>
          <w:tcPr/>
          <w:p>
            <w:pPr>
              <w:pStyle w:val="Compact"/>
              <w:jc w:val="left"/>
            </w:pPr>
            <w:r>
              <w:t xml:space="preserve">5</w:t>
            </w:r>
          </w:p>
        </w:tc>
        <w:tc>
          <w:tcPr/>
          <w:p>
            <w:pPr>
              <w:pStyle w:val="Compact"/>
              <w:jc w:val="left"/>
            </w:pPr>
            <w:r>
              <w:t xml:space="preserve">Board Presentation &amp; Strategic Banking Roadmap – Preparation and delivery of a 90-minute presentation to the client's Board of Directors outlining the 2025–2026 banking strategy, including relationship banking expansion, digital banking adoption, and Sharia-compliant financing options available in Saudi Arabia Riyadh.</w:t>
            </w:r>
          </w:p>
        </w:tc>
        <w:tc>
          <w:tcPr/>
          <w:p>
            <w:pPr>
              <w:pStyle w:val="Compact"/>
              <w:jc w:val="left"/>
            </w:pPr>
            <w:r>
              <w:t xml:space="preserve">BP-2025-006</w:t>
            </w:r>
          </w:p>
        </w:tc>
        <w:tc>
          <w:tcPr/>
          <w:p>
            <w:pPr>
              <w:pStyle w:val="Compact"/>
              <w:jc w:val="left"/>
            </w:pPr>
            <w:r>
              <w:t xml:space="preserve">1</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6</w:t>
            </w:r>
          </w:p>
        </w:tc>
        <w:tc>
          <w:tcPr/>
          <w:p>
            <w:pPr>
              <w:pStyle w:val="Compact"/>
              <w:jc w:val="left"/>
            </w:pPr>
            <w:r>
              <w:t xml:space="preserve">On-Site Advisory at Client Premises – Two full-day visits to the client's headquarters in Riyadh for direct negotiation with the lending committee and finalization of a 50 million SAR revolving credit facility.</w:t>
            </w:r>
          </w:p>
        </w:tc>
        <w:tc>
          <w:tcPr/>
          <w:p>
            <w:pPr>
              <w:pStyle w:val="Compact"/>
              <w:jc w:val="left"/>
            </w:pPr>
            <w:r>
              <w:t xml:space="preserve">OS-2025-019</w:t>
            </w:r>
          </w:p>
        </w:tc>
        <w:tc>
          <w:tcPr/>
          <w:p>
            <w:pPr>
              <w:pStyle w:val="Compact"/>
              <w:jc w:val="left"/>
            </w:pPr>
            <w:r>
              <w:t xml:space="preserve">2 days</w:t>
            </w:r>
          </w:p>
        </w:tc>
        <w:tc>
          <w:tcPr/>
          <w:p>
            <w:pPr>
              <w:pStyle w:val="Compact"/>
              <w:jc w:val="left"/>
            </w:pPr>
            <w:r>
              <w:t xml:space="preserve">4,500.00</w:t>
            </w:r>
          </w:p>
        </w:tc>
        <w:tc>
          <w:tcPr/>
          <w:p>
            <w:pPr>
              <w:pStyle w:val="Compact"/>
              <w:jc w:val="left"/>
            </w:pPr>
            <w:r>
              <w:t xml:space="preserve">9,000.00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61,100.00 SAR</w:t>
            </w:r>
          </w:p>
        </w:tc>
      </w:tr>
      <w:tr>
        <w:tc>
          <w:tcPr/>
          <w:p>
            <w:pPr>
              <w:pStyle w:val="Compact"/>
              <w:jc w:val="left"/>
            </w:pPr>
            <w:r>
              <w:t xml:space="preserve">VAT (15%)</w:t>
            </w:r>
          </w:p>
        </w:tc>
        <w:tc>
          <w:tcPr/>
          <w:p>
            <w:pPr>
              <w:pStyle w:val="Compact"/>
              <w:jc w:val="right"/>
            </w:pPr>
            <w:r>
              <w:t xml:space="preserve">9,165.00 SAR</w:t>
            </w:r>
          </w:p>
        </w:tc>
      </w:tr>
      <w:tr>
        <w:tc>
          <w:tcPr/>
          <w:p>
            <w:pPr>
              <w:pStyle w:val="Compact"/>
              <w:jc w:val="left"/>
            </w:pPr>
            <w:r>
              <w:t xml:space="preserve">Discount (Early Payment – 2%)</w:t>
            </w:r>
          </w:p>
        </w:tc>
        <w:tc>
          <w:tcPr/>
          <w:p>
            <w:pPr>
              <w:pStyle w:val="Compact"/>
              <w:jc w:val="right"/>
            </w:pPr>
            <w:r>
              <w:t xml:space="preserve">-1,222.00 SAR</w:t>
            </w:r>
          </w:p>
        </w:tc>
      </w:tr>
      <w:tr>
        <w:tc>
          <w:tcPr/>
          <w:p>
            <w:pPr>
              <w:pStyle w:val="Compact"/>
              <w:jc w:val="left"/>
            </w:pPr>
            <w:r>
              <w:t xml:space="preserve">Grand Total Due</w:t>
            </w:r>
          </w:p>
        </w:tc>
        <w:tc>
          <w:tcPr/>
          <w:p>
            <w:pPr>
              <w:pStyle w:val="Compact"/>
              <w:jc w:val="right"/>
            </w:pPr>
            <w:r>
              <w:t xml:space="preserve">69,043.00 SAR</w:t>
            </w:r>
          </w:p>
        </w:tc>
      </w:tr>
    </w:tbl>
    <w:p>
      <w:pPr>
        <w:pStyle w:val="BodyText"/>
      </w:pPr>
      <w:r>
        <w:t xml:space="preserve">Terms and Conditions</w:t>
      </w:r>
    </w:p>
    <w:p>
      <w:pPr>
        <w:pStyle w:val="BodyText"/>
      </w:pPr>
      <w:r>
        <w:rPr>
          <w:bCs/>
          <w:b/>
        </w:rPr>
        <w:t xml:space="preserve">1. Payment Terms:</w:t>
      </w:r>
      <w:r>
        <w:t xml:space="preserve"> </w:t>
      </w:r>
      <w:r>
        <w:t xml:space="preserve">This Invoice is payable within thirty (30) calendar days from the date of issue. Payment is to be remitted via bank transfer to the IBAN specified above. Late payments shall incur a penalty of 1.5% per month in accordance with the Saudi Commercial Transactions Law.</w:t>
      </w:r>
    </w:p>
    <w:p>
      <w:pPr>
        <w:pStyle w:val="BodyText"/>
      </w:pPr>
      <w:r>
        <w:rPr>
          <w:bCs/>
          <w:b/>
        </w:rPr>
        <w:t xml:space="preserve">2. Banker Liability:</w:t>
      </w:r>
      <w:r>
        <w:t xml:space="preserve"> </w:t>
      </w:r>
      <w:r>
        <w:t xml:space="preserve">The Banker, Mr. Faisal Al-Harbi, acts as an independent financial advisor and is not a guarantor of investment returns. All advisory services are provided on a best-efforts basis. The Banker shall not be held liable for market fluctuations, regulatory changes issued by SAMA, or decisions made by the client's management based on the advice rendered.</w:t>
      </w:r>
    </w:p>
    <w:p>
      <w:pPr>
        <w:pStyle w:val="BodyText"/>
      </w:pPr>
      <w:r>
        <w:rPr>
          <w:bCs/>
          <w:b/>
        </w:rPr>
        <w:t xml:space="preserve">3. Jurisdiction:</w:t>
      </w:r>
      <w:r>
        <w:t xml:space="preserve"> </w:t>
      </w:r>
      <w:r>
        <w:t xml:space="preserve">This Invoice and all associated services are governed by the laws of the Kingdom of Saudi Arabia. Any disputes arising from this Invoice shall be subject to the exclusive jurisdiction of the commercial courts in Riyadh, Saudi Arabia. Mediation shall be attempted through the Saudi Center for Commercial Arbitration (SCCA) before litigation.</w:t>
      </w:r>
    </w:p>
    <w:p>
      <w:pPr>
        <w:pStyle w:val="BodyText"/>
      </w:pPr>
      <w:r>
        <w:rPr>
          <w:bCs/>
          <w:b/>
        </w:rPr>
        <w:t xml:space="preserve">4. Confidentiality:</w:t>
      </w:r>
      <w:r>
        <w:t xml:space="preserve"> </w:t>
      </w:r>
      <w:r>
        <w:t xml:space="preserve">All financial data, trade secrets, and proprietary information shared during the engagement are subject to a strict non-disclosure agreement. The Banker shall maintain confidentiality in full compliance with SAMA's data protection circulars and the Saudi Personal Data Protection Law (PDPL).</w:t>
      </w:r>
    </w:p>
    <w:p>
      <w:pPr>
        <w:pStyle w:val="BodyText"/>
      </w:pPr>
      <w:r>
        <w:rPr>
          <w:bCs/>
          <w:b/>
        </w:rPr>
        <w:t xml:space="preserve">5. VAT Compliance:</w:t>
      </w:r>
      <w:r>
        <w:t xml:space="preserve"> </w:t>
      </w:r>
      <w:r>
        <w:t xml:space="preserve">The 15% Value Added Tax applied on this Invoice is in accordance with the Zakat, Tax and Customs Authority (ZATCA) regulations of Saudi Arabia. The client is entitled to claim input VAT credit subject to ZATCA eligibility criteria.</w:t>
      </w:r>
    </w:p>
    <w:p>
      <w:pPr>
        <w:pStyle w:val="BodyText"/>
      </w:pPr>
      <w:r>
        <w:rPr>
          <w:bCs/>
          <w:b/>
        </w:rPr>
        <w:t xml:space="preserve">6. Cancellation &amp; Refunds:</w:t>
      </w:r>
      <w:r>
        <w:t xml:space="preserve"> </w:t>
      </w:r>
      <w:r>
        <w:t xml:space="preserve">Services already rendered and documented in this Invoice are non-refundable. Cancellation of future scheduled sessions must be communicated in writing at least seven (7) business days in advance to avoid no-show charges.</w:t>
      </w:r>
    </w:p>
    <w:p>
      <w:pPr>
        <w:pStyle w:val="BodyText"/>
      </w:pPr>
      <w:r>
        <w:t xml:space="preserve">Notes</w:t>
      </w:r>
    </w:p>
    <w:p>
      <w:pPr>
        <w:pStyle w:val="BodyText"/>
      </w:pPr>
      <w:r>
        <w:t xml:space="preserve">This Invoice has been prepared and issued by the undersigned Banker in his capacity as a licensed financial professional operating in Saudi Arabia Riyadh. All services described herein were performed in accordance with the professional standards set by the Saudi Central Bank (SAMA) and the International Federation of Accountants (IFAC). The Banker confirms that no conflict of interest exists in the provision of these services to the client named above.</w:t>
      </w:r>
    </w:p>
    <w:p>
      <w:pPr>
        <w:pStyle w:val="BodyText"/>
      </w:pPr>
      <w:r>
        <w:t xml:space="preserve">Please retain this Invoice for your corporate tax records. A digital copy has been transmitted to the client's designated email address. For any queries regarding this Invoice, please contact the billing department of Al-Riyadh Financial Advisory Group during business hours (Sunday to Thursday, 8:00 AM – 5:00 PM, Saudi Arabia Standard Time).</w:t>
      </w:r>
    </w:p>
    <w:p>
      <w:pPr>
        <w:pStyle w:val="BodyText"/>
      </w:pPr>
      <w:r>
        <w:rPr>
          <w:bCs/>
          <w:b/>
        </w:rPr>
        <w:t xml:space="preserve">Authorized Signatory:</w:t>
      </w:r>
      <w:r>
        <w:t xml:space="preserve"> </w:t>
      </w:r>
      <w:r>
        <w:t xml:space="preserve">Mr. Faisal Al-Harbi – Senior Banker, Al-Riyadh Financial Advisory Group</w:t>
      </w:r>
    </w:p>
    <w:p>
      <w:pPr>
        <w:pStyle w:val="BodyText"/>
      </w:pPr>
      <w:r>
        <w:t xml:space="preserve">Issued in Riyadh, Saudi Arabia | Invoice No. INV-2025-04872 | This document is valid without a physical stamp per ZATCA e-invoicing regulations.</w:t>
      </w:r>
    </w:p>
    <w:p>
      <w:pPr>
        <w:pStyle w:val="BodyText"/>
      </w:pPr>
      <w:r>
        <w:t xml:space="preserve">© 2025 Al-Riyadh Financial Advisory Group. All rights reserved. | CR: 1010456789 | SAMA License: SAMA-BNK-2024-00342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Banker Services - Saudi Arabia Riyadh</dc:title>
  <dc:creator/>
  <dc:language>en</dc:language>
  <cp:keywords/>
  <dcterms:created xsi:type="dcterms:W3CDTF">2026-10-10T07:26:00Z</dcterms:created>
  <dcterms:modified xsi:type="dcterms:W3CDTF">2026-10-10T07:26:00Z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