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thierno-mbaye-associates"/>
    <w:p>
      <w:pPr>
        <w:pStyle w:val="Heading1"/>
      </w:pPr>
      <w:r>
        <w:t xml:space="preserve">Thierno Mbaye &amp; Associates</w:t>
      </w:r>
    </w:p>
    <w:p>
      <w:pPr>
        <w:pStyle w:val="FirstParagraph"/>
      </w:pPr>
      <w:r>
        <w:t xml:space="preserve">Chartered Banker &amp; Financial Advisor</w:t>
      </w:r>
    </w:p>
    <w:p>
      <w:pPr>
        <w:pStyle w:val="BodyText"/>
      </w:pPr>
      <w:r>
        <w:t xml:space="preserve">Office 214, Tour de Dakar, Plateau</w:t>
      </w:r>
    </w:p>
    <w:p>
      <w:pPr>
        <w:pStyle w:val="BodyText"/>
      </w:pPr>
      <w:r>
        <w:t xml:space="preserve">Dakar, Senegal</w:t>
      </w:r>
    </w:p>
    <w:p>
      <w:pPr>
        <w:pStyle w:val="BodyText"/>
      </w:pPr>
      <w:r>
        <w:t xml:space="preserve">Tel: +221 33 800 12 34 | Email: t.mbaye@bankerdakar.sn</w:t>
      </w:r>
    </w:p>
    <w:p>
      <w:pPr>
        <w:pStyle w:val="BodyText"/>
      </w:pPr>
      <w:r>
        <w:t xml:space="preserve">Professional License No. BK-2019-0457 (Banque Centrale du Sénégal)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INV-2025-DKR-0847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Official Invoice – Senegal Dakar</w:t>
      </w:r>
    </w:p>
    <w:bookmarkEnd w:id="21"/>
    <w:bookmarkStart w:id="22" w:name="banker-service-provider"/>
    <w:p>
      <w:pPr>
        <w:pStyle w:val="Heading3"/>
      </w:pPr>
      <w:r>
        <w:t xml:space="preserve">Banker (Service Provider)</w:t>
      </w:r>
    </w:p>
    <w:p>
      <w:pPr>
        <w:pStyle w:val="FirstParagraph"/>
      </w:pPr>
      <w:r>
        <w:rPr>
          <w:bCs/>
          <w:b/>
        </w:rPr>
        <w:t xml:space="preserve">Name:</w:t>
      </w:r>
      <w:r>
        <w:t xml:space="preserve"> </w:t>
      </w:r>
      <w:r>
        <w:t xml:space="preserve">Thierno Mbaye</w:t>
      </w:r>
    </w:p>
    <w:p>
      <w:pPr>
        <w:pStyle w:val="BodyText"/>
      </w:pPr>
      <w:r>
        <w:rPr>
          <w:bCs/>
          <w:b/>
        </w:rPr>
        <w:t xml:space="preserve">Title:</w:t>
      </w:r>
      <w:r>
        <w:t xml:space="preserve"> </w:t>
      </w:r>
      <w:r>
        <w:t xml:space="preserve">Senior Banker, Corporate Finance Division</w:t>
      </w:r>
    </w:p>
    <w:p>
      <w:pPr>
        <w:pStyle w:val="BodyText"/>
      </w:pPr>
      <w:r>
        <w:rPr>
          <w:bCs/>
          <w:b/>
        </w:rPr>
        <w:t xml:space="preserve">Address:</w:t>
      </w:r>
      <w:r>
        <w:t xml:space="preserve"> </w:t>
      </w:r>
      <w:r>
        <w:t xml:space="preserve">Office 214, Tour de Dakar, Plateau, Dakar, Senegal</w:t>
      </w:r>
    </w:p>
    <w:p>
      <w:pPr>
        <w:pStyle w:val="BodyText"/>
      </w:pPr>
      <w:r>
        <w:rPr>
          <w:bCs/>
          <w:b/>
        </w:rPr>
        <w:t xml:space="preserve">RC (Registre de Commerce):</w:t>
      </w:r>
      <w:r>
        <w:t xml:space="preserve"> </w:t>
      </w:r>
      <w:r>
        <w:t xml:space="preserve">DK-2019-B-12345</w:t>
      </w:r>
    </w:p>
    <w:p>
      <w:pPr>
        <w:pStyle w:val="BodyText"/>
      </w:pPr>
      <w:r>
        <w:rPr>
          <w:bCs/>
          <w:b/>
        </w:rPr>
        <w:t xml:space="preserve">NIF (Tax ID):</w:t>
      </w:r>
      <w:r>
        <w:t xml:space="preserve"> </w:t>
      </w:r>
      <w:r>
        <w:t xml:space="preserve">004567890123</w:t>
      </w:r>
    </w:p>
    <w:p>
      <w:pPr>
        <w:pStyle w:val="BodyText"/>
      </w:pPr>
      <w:r>
        <w:rPr>
          <w:bCs/>
          <w:b/>
        </w:rPr>
        <w:t xml:space="preserve">IBAN:</w:t>
      </w:r>
      <w:r>
        <w:t xml:space="preserve"> </w:t>
      </w:r>
      <w:r>
        <w:t xml:space="preserve">SN09 1000 2000 0123 4567 8901 234</w:t>
      </w:r>
    </w:p>
    <w:bookmarkEnd w:id="22"/>
    <w:bookmarkStart w:id="23" w:name="client-service-recipient"/>
    <w:p>
      <w:pPr>
        <w:pStyle w:val="Heading3"/>
      </w:pPr>
      <w:r>
        <w:t xml:space="preserve">Client (Service Recipient)</w:t>
      </w:r>
    </w:p>
    <w:p>
      <w:pPr>
        <w:pStyle w:val="FirstParagraph"/>
      </w:pPr>
      <w:r>
        <w:rPr>
          <w:bCs/>
          <w:b/>
        </w:rPr>
        <w:t xml:space="preserve">Company:</w:t>
      </w:r>
      <w:r>
        <w:t xml:space="preserve"> </w:t>
      </w:r>
      <w:r>
        <w:t xml:space="preserve">Société Africaine de Commerce SARL</w:t>
      </w:r>
    </w:p>
    <w:p>
      <w:pPr>
        <w:pStyle w:val="BodyText"/>
      </w:pPr>
      <w:r>
        <w:rPr>
          <w:bCs/>
          <w:b/>
        </w:rPr>
        <w:t xml:space="preserve">Attention:</w:t>
      </w:r>
      <w:r>
        <w:t xml:space="preserve"> </w:t>
      </w:r>
      <w:r>
        <w:t xml:space="preserve">M. Ousmane Diop, Managing Director</w:t>
      </w:r>
    </w:p>
    <w:p>
      <w:pPr>
        <w:pStyle w:val="BodyText"/>
      </w:pPr>
      <w:r>
        <w:rPr>
          <w:bCs/>
          <w:b/>
        </w:rPr>
        <w:t xml:space="preserve">Address:</w:t>
      </w:r>
      <w:r>
        <w:t xml:space="preserve"> </w:t>
      </w:r>
      <w:r>
        <w:t xml:space="preserve">45 Avenue Cheikh Anta Diop, Almadies, Dakar, Senegal</w:t>
      </w:r>
    </w:p>
    <w:p>
      <w:pPr>
        <w:pStyle w:val="BodyText"/>
      </w:pPr>
      <w:r>
        <w:rPr>
          <w:bCs/>
          <w:b/>
        </w:rPr>
        <w:t xml:space="preserve">RC:</w:t>
      </w:r>
      <w:r>
        <w:t xml:space="preserve"> </w:t>
      </w:r>
      <w:r>
        <w:t xml:space="preserve">DK-2015-C-67890</w:t>
      </w:r>
    </w:p>
    <w:p>
      <w:pPr>
        <w:pStyle w:val="BodyText"/>
      </w:pPr>
      <w:r>
        <w:rPr>
          <w:bCs/>
          <w:b/>
        </w:rPr>
        <w:t xml:space="preserve">NIF:</w:t>
      </w:r>
      <w:r>
        <w:t xml:space="preserve"> </w:t>
      </w:r>
      <w:r>
        <w:t xml:space="preserve">009876543210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 Rendered</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VAT (18%)</w:t>
            </w:r>
          </w:p>
        </w:tc>
      </w:tr>
      <w:tr>
        <w:tc>
          <w:tcPr/>
          <w:p>
            <w:pPr>
              <w:pStyle w:val="Compact"/>
              <w:jc w:val="left"/>
            </w:pPr>
            <w:r>
              <w:t xml:space="preserve">01</w:t>
            </w:r>
          </w:p>
        </w:tc>
        <w:tc>
          <w:tcPr/>
          <w:p>
            <w:pPr>
              <w:pStyle w:val="Compact"/>
              <w:jc w:val="left"/>
            </w:pPr>
            <w:r>
              <w:t xml:space="preserve">Comprehensive corporate banking advisory and account restructuring services provided by the Banker to optimize the client's multi-currency accounts held at commercial banks in Senegal Dakar. Includes quarterly portfolio review and liquidity management strategy.</w:t>
            </w:r>
          </w:p>
        </w:tc>
        <w:tc>
          <w:tcPr/>
          <w:p>
            <w:pPr>
              <w:pStyle w:val="Compact"/>
              <w:jc w:val="left"/>
            </w:pPr>
            <w:r>
              <w:t xml:space="preserve">Q1 2025 (Jan–Mar)</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153,000</w:t>
            </w:r>
          </w:p>
        </w:tc>
      </w:tr>
      <w:tr>
        <w:tc>
          <w:tcPr/>
          <w:p>
            <w:pPr>
              <w:pStyle w:val="Compact"/>
              <w:jc w:val="left"/>
            </w:pPr>
            <w:r>
              <w:t xml:space="preserve">02</w:t>
            </w:r>
          </w:p>
        </w:tc>
        <w:tc>
          <w:tcPr/>
          <w:p>
            <w:pPr>
              <w:pStyle w:val="Compact"/>
              <w:jc w:val="left"/>
            </w:pPr>
            <w:r>
              <w:t xml:space="preserve">Trade finance facilitation and letter of credit issuance support. The Banker coordinated with correspondent banks in Europe and West Africa to process import/export documentation for the client's textile supply chain operations based in Senegal Dakar.</w:t>
            </w:r>
          </w:p>
        </w:tc>
        <w:tc>
          <w:tcPr/>
          <w:p>
            <w:pPr>
              <w:pStyle w:val="Compact"/>
              <w:jc w:val="left"/>
            </w:pPr>
            <w:r>
              <w:t xml:space="preserve">Q1 2025 (Jan–Mar)</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Foreign exchange risk management consultation. The Banker provided hedging strategies and derivative instrument recommendations to protect the client's CFA franc and Euro exposure, in compliance with the regulations of the Banque Centrale des États de l'Afrique de l'Ouest (BCEAO) applicable in Senegal Dakar.</w:t>
            </w:r>
          </w:p>
        </w:tc>
        <w:tc>
          <w:tcPr/>
          <w:p>
            <w:pPr>
              <w:pStyle w:val="Compact"/>
              <w:jc w:val="left"/>
            </w:pPr>
            <w:r>
              <w:t xml:space="preserve">Q1 2025 (Jan–Mar)</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117,000</w:t>
            </w:r>
          </w:p>
        </w:tc>
      </w:tr>
      <w:tr>
        <w:tc>
          <w:tcPr/>
          <w:p>
            <w:pPr>
              <w:pStyle w:val="Compact"/>
              <w:jc w:val="left"/>
            </w:pPr>
            <w:r>
              <w:t xml:space="preserve">04</w:t>
            </w:r>
          </w:p>
        </w:tc>
        <w:tc>
          <w:tcPr/>
          <w:p>
            <w:pPr>
              <w:pStyle w:val="Compact"/>
              <w:jc w:val="left"/>
            </w:pPr>
            <w:r>
              <w:t xml:space="preserve">Regulatory compliance and AML (Anti-Money Laundering) audit support. The Banker conducted a full review of the client's transaction records to ensure adherence to the financial regulations enforced by the Autorité de Contrôle Prudentiel et de Résolution (ACPR) and local Senegal Dakar banking authorities.</w:t>
            </w:r>
          </w:p>
        </w:tc>
        <w:tc>
          <w:tcPr/>
          <w:p>
            <w:pPr>
              <w:pStyle w:val="Compact"/>
              <w:jc w:val="left"/>
            </w:pPr>
            <w:r>
              <w:t xml:space="preserve">Q1 2025 (Jan–Mar)</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81,000</w:t>
            </w:r>
          </w:p>
        </w:tc>
      </w:tr>
      <w:tr>
        <w:tc>
          <w:tcPr/>
          <w:p>
            <w:pPr>
              <w:pStyle w:val="Compact"/>
              <w:jc w:val="left"/>
            </w:pPr>
            <w:r>
              <w:t xml:space="preserve">05</w:t>
            </w:r>
          </w:p>
        </w:tc>
        <w:tc>
          <w:tcPr/>
          <w:p>
            <w:pPr>
              <w:pStyle w:val="Compact"/>
              <w:jc w:val="left"/>
            </w:pPr>
            <w:r>
              <w:t xml:space="preserve">On-site banking relationship management and executive briefing sessions. The Banker held four in-person meetings at the client's Almadies office in Senegal Dakar to present quarterly performance reports, discuss credit facility utilization, and align on upcoming capital expenditure plans.</w:t>
            </w:r>
          </w:p>
        </w:tc>
        <w:tc>
          <w:tcPr/>
          <w:p>
            <w:pPr>
              <w:pStyle w:val="Compact"/>
              <w:jc w:val="left"/>
            </w:pPr>
            <w:r>
              <w:t xml:space="preserve">Q1 2025 (Jan–Mar)</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(XOF)</w:t>
            </w:r>
          </w:p>
        </w:tc>
        <w:tc>
          <w:tcPr/>
          <w:p>
            <w:pPr>
              <w:pStyle w:val="Compact"/>
              <w:jc w:val="right"/>
            </w:pPr>
            <w:r>
              <w:rPr>
                <w:bCs/>
                <w:b/>
              </w:rPr>
              <w:t xml:space="preserve">3,450,000</w:t>
            </w:r>
          </w:p>
        </w:tc>
      </w:tr>
      <w:tr>
        <w:tc>
          <w:tcPr/>
          <w:p>
            <w:pPr>
              <w:pStyle w:val="Compact"/>
              <w:jc w:val="left"/>
            </w:pPr>
            <w:r>
              <w:t xml:space="preserve">VAT @ 18% (XOF)</w:t>
            </w:r>
          </w:p>
        </w:tc>
        <w:tc>
          <w:tcPr/>
          <w:p>
            <w:pPr>
              <w:pStyle w:val="Compact"/>
              <w:jc w:val="right"/>
            </w:pPr>
            <w:r>
              <w:rPr>
                <w:bCs/>
                <w:b/>
              </w:rPr>
              <w:t xml:space="preserve">621,000</w:t>
            </w:r>
          </w:p>
        </w:tc>
      </w:tr>
      <w:tr>
        <w:tc>
          <w:tcPr/>
          <w:p>
            <w:pPr>
              <w:pStyle w:val="Compact"/>
              <w:jc w:val="left"/>
            </w:pPr>
            <w:r>
              <w:t xml:space="preserve">Professional Service Tax (XOF)</w:t>
            </w:r>
          </w:p>
        </w:tc>
        <w:tc>
          <w:tcPr/>
          <w:p>
            <w:pPr>
              <w:pStyle w:val="Compact"/>
              <w:jc w:val="right"/>
            </w:pPr>
            <w:r>
              <w:rPr>
                <w:bCs/>
                <w:b/>
              </w:rPr>
              <w:t xml:space="preserve">69,000</w:t>
            </w:r>
          </w:p>
        </w:tc>
      </w:tr>
      <w:tr>
        <w:tc>
          <w:tcPr/>
          <w:p>
            <w:pPr>
              <w:pStyle w:val="Compact"/>
              <w:jc w:val="left"/>
            </w:pPr>
            <w:r>
              <w:t xml:space="preserve">TOTAL DUE (XOF)</w:t>
            </w:r>
          </w:p>
        </w:tc>
        <w:tc>
          <w:tcPr/>
          <w:p>
            <w:pPr>
              <w:pStyle w:val="Compact"/>
              <w:jc w:val="right"/>
            </w:pPr>
            <w:r>
              <w:t xml:space="preserve">4,140,000</w:t>
            </w:r>
          </w:p>
        </w:tc>
      </w:tr>
    </w:tbl>
    <w:bookmarkStart w:id="24" w:name="payment-terms-conditions"/>
    <w:p>
      <w:pPr>
        <w:pStyle w:val="Heading3"/>
      </w:pPr>
      <w:r>
        <w:t xml:space="preserve">Payment Terms &amp; Conditions</w:t>
      </w:r>
    </w:p>
    <w:p>
      <w:pPr>
        <w:pStyle w:val="FirstParagraph"/>
      </w:pPr>
      <w:r>
        <w:t xml:space="preserve">This Invoice must be settled in full within fifteen (15) calendar days of the issue date, no later than 30 June 2025. Payment shall be made in West African CFA Francs (XOF) via bank transfer to the IBAN specified above, held at Société Générale Sénégal, Plateau branch, Dakar.</w:t>
      </w:r>
    </w:p>
    <w:p>
      <w:pPr>
        <w:pStyle w:val="BodyText"/>
      </w:pPr>
      <w:r>
        <w:t xml:space="preserve">Late payments shall attract a penalty interest rate of 1.5% per month, in accordance with the commercial code of Senegal and the standard terms agreed upon between the Banker and the client. The Banker reserves the right to suspend ongoing advisory services in Senegal Dakar until all outstanding Invoice obligations are cleared.</w:t>
      </w:r>
    </w:p>
    <w:p>
      <w:pPr>
        <w:pStyle w:val="BodyText"/>
      </w:pPr>
      <w:r>
        <w:t xml:space="preserve">All amounts stated on this Invoice are exclusive of any applicable withholding tax, which shall be the sole responsibility of the client as per Senegalese tax law. The Banker shall provide a certified tax receipt upon request following full settlement.</w:t>
      </w:r>
    </w:p>
    <w:bookmarkEnd w:id="24"/>
    <w:bookmarkStart w:id="25" w:name="important-notes-legal-disclaimer"/>
    <w:p>
      <w:pPr>
        <w:pStyle w:val="Heading3"/>
      </w:pPr>
      <w:r>
        <w:t xml:space="preserve">Important Notes &amp; Legal Disclaimer</w:t>
      </w:r>
    </w:p>
    <w:p>
      <w:pPr>
        <w:pStyle w:val="FirstParagraph"/>
      </w:pPr>
      <w:r>
        <w:t xml:space="preserve">This Invoice constitutes a formal and binding financial document issued by the undersigned Banker, Thierno Mbaye, acting in his professional capacity as a licensed banking advisor registered with the regulatory authorities of Senegal Dakar. The services described herein were rendered exclusively for the benefit of the named client and may not be transferred or assigned without prior written consent from the Banker.</w:t>
      </w:r>
    </w:p>
    <w:p>
      <w:pPr>
        <w:pStyle w:val="BodyText"/>
      </w:pPr>
      <w:r>
        <w:t xml:space="preserve">The Banker confirms that all advisory services, trade finance facilitation, and compliance reviews detailed in this Invoice were conducted in strict accordance with the professional standards set by the Ordre des Experts-Comptables et Conseillers Financiers du Sénégal and the operational guidelines of the BCEAO. All client data processed during the engagement period has been handled in compliance with the Senegalese data protection law (Loi n° 2008-12 du 25 janvier 2008) and the professional confidentiality obligations binding every Banker operating in Senegal Dakar.</w:t>
      </w:r>
    </w:p>
    <w:p>
      <w:pPr>
        <w:pStyle w:val="BodyText"/>
      </w:pPr>
      <w:r>
        <w:t xml:space="preserve">Should the client require a duplicate copy of this Invoice or wish to dispute any line item, written notice must be submitted to the Banker's office at the address stated above within ten (10) business days of receipt. Disputes arising from this Invoice shall be resolved through the competent commercial courts of Dakar, Senegal, or by arbitration under the rules of the Centre Arbitral de Dakar, at the election of the Banker.</w:t>
      </w:r>
    </w:p>
    <w:p>
      <w:pPr>
        <w:pStyle w:val="BodyText"/>
      </w:pPr>
      <w:r>
        <w:t xml:space="preserve">This Invoice is valid for a period of ninety (90) days from the date of issue. After this period, the Banker may reissue the document with updated reference numbers. The client is advised to retain this Invoice for a minimum of ten (10) years for tax and audit purposes, as mandated by the Direction Générale des Impôts et des Domaines (DGID) of Senegal.</w:t>
      </w:r>
    </w:p>
    <w:bookmarkEnd w:id="25"/>
    <w:p>
      <w:pPr>
        <w:pStyle w:val="BodyText"/>
      </w:pPr>
      <w:r>
        <w:rPr>
          <w:bCs/>
          <w:b/>
        </w:rPr>
        <w:t xml:space="preserve">Thierno Mbaye</w:t>
      </w:r>
      <w:r>
        <w:br/>
      </w:r>
      <w:r>
        <w:t xml:space="preserve">Senior Banker &amp; Financial Advisor</w:t>
      </w:r>
      <w:r>
        <w:br/>
      </w:r>
      <w:r>
        <w:t xml:space="preserve">For and on behalf of the Service Provider</w:t>
      </w:r>
    </w:p>
    <w:p>
      <w:pPr>
        <w:pStyle w:val="BodyText"/>
      </w:pPr>
      <w:r>
        <w:rPr>
          <w:bCs/>
          <w:b/>
        </w:rPr>
        <w:t xml:space="preserve">Client Acknowledgment</w:t>
      </w:r>
      <w:r>
        <w:br/>
      </w:r>
      <w:r>
        <w:t xml:space="preserve">Société Africaine de Commerce SARL</w:t>
      </w:r>
      <w:r>
        <w:br/>
      </w:r>
      <w:r>
        <w:t xml:space="preserve">Received and Approved</w:t>
      </w:r>
    </w:p>
    <w:p>
      <w:pPr>
        <w:pStyle w:val="BodyText"/>
      </w:pPr>
      <w:r>
        <w:t xml:space="preserve">Invoice INV-2025-DKR-0847 | Issued by Thierno Mbaye &amp; Associates, Banker, Dakar, Senegal</w:t>
      </w:r>
    </w:p>
    <w:p>
      <w:pPr>
        <w:pStyle w:val="BodyText"/>
      </w:pPr>
      <w:r>
        <w:t xml:space="preserve">This document is generated electronically and is valid without physical signature. For verification, contact the Banker's office at +221 33 800 12 34.</w:t>
      </w:r>
    </w:p>
    <w:p>
      <w:pPr>
        <w:pStyle w:val="BodyText"/>
      </w:pPr>
      <w:r>
        <w:t xml:space="preserve">© 2025 Thierno Mbaye &amp; Associates – All rights reserved. Registered in Senegal Dakar under RC DK-2019-B-12345.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Senegal Dakar</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