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Financial</w:t>
      </w:r>
      <w:r>
        <w:t xml:space="preserve"> </w:t>
      </w:r>
      <w:r>
        <w:t xml:space="preserve">Services</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banker-financial-services-pty-ltd"/>
    <w:p>
      <w:pPr>
        <w:pStyle w:val="Heading1"/>
      </w:pPr>
      <w:r>
        <w:t xml:space="preserve">Banker Financial Services (Pty) Ltd</w:t>
      </w:r>
    </w:p>
    <w:p>
      <w:pPr>
        <w:pStyle w:val="FirstParagraph"/>
      </w:pPr>
      <w:r>
        <w:t xml:space="preserve">120 Sea Point Promenade, Sea Point</w:t>
      </w:r>
    </w:p>
    <w:p>
      <w:pPr>
        <w:pStyle w:val="BodyText"/>
      </w:pPr>
      <w:r>
        <w:t xml:space="preserve">Cape Town, 8005, Western Cape</w:t>
      </w:r>
    </w:p>
    <w:p>
      <w:pPr>
        <w:pStyle w:val="BodyText"/>
      </w:pPr>
      <w:r>
        <w:t xml:space="preserve">South Africa</w:t>
      </w:r>
    </w:p>
    <w:p>
      <w:pPr>
        <w:pStyle w:val="BodyText"/>
      </w:pPr>
      <w:r>
        <w:t xml:space="preserve">Tel: +27 21 424 5678 | Email: billing@bankerfin.co.za</w:t>
      </w:r>
    </w:p>
    <w:p>
      <w:pPr>
        <w:pStyle w:val="BodyText"/>
      </w:pPr>
      <w:r>
        <w:t xml:space="preserve">VAT Registration No: 4930128765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BKS-2025-04782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CT-SEA-2025-Q2</w:t>
      </w:r>
    </w:p>
    <w:bookmarkEnd w:id="21"/>
    <w:bookmarkStart w:id="22" w:name="bill-to"/>
    <w:p>
      <w:pPr>
        <w:pStyle w:val="Heading3"/>
      </w:pPr>
      <w:r>
        <w:t xml:space="preserve">Bill To</w:t>
      </w:r>
    </w:p>
    <w:p>
      <w:pPr>
        <w:pStyle w:val="FirstParagraph"/>
      </w:pPr>
      <w:r>
        <w:rPr>
          <w:bCs/>
          <w:b/>
        </w:rPr>
        <w:t xml:space="preserve">Atlantic Coastal Holdings (Pty) Ltd</w:t>
      </w:r>
    </w:p>
    <w:p>
      <w:pPr>
        <w:pStyle w:val="BodyText"/>
      </w:pPr>
      <w:r>
        <w:t xml:space="preserve">45 Bree Street, Gardens</w:t>
      </w:r>
    </w:p>
    <w:p>
      <w:pPr>
        <w:pStyle w:val="BodyText"/>
      </w:pPr>
      <w:r>
        <w:t xml:space="preserve">Cape Town, 8001, Western Cape</w:t>
      </w:r>
    </w:p>
    <w:p>
      <w:pPr>
        <w:pStyle w:val="BodyText"/>
      </w:pPr>
      <w:r>
        <w:t xml:space="preserve">South Africa</w:t>
      </w:r>
    </w:p>
    <w:p>
      <w:pPr>
        <w:pStyle w:val="BodyText"/>
      </w:pPr>
      <w:r>
        <w:t xml:space="preserve">VAT No: 4930987654</w:t>
      </w:r>
    </w:p>
    <w:p>
      <w:pPr>
        <w:pStyle w:val="BodyText"/>
      </w:pPr>
      <w:r>
        <w:t xml:space="preserve">Attention: Mr. J. van der Merwe, CFO</w:t>
      </w:r>
    </w:p>
    <w:bookmarkEnd w:id="22"/>
    <w:bookmarkStart w:id="23" w:name="banker-service-provider"/>
    <w:p>
      <w:pPr>
        <w:pStyle w:val="Heading3"/>
      </w:pPr>
      <w:r>
        <w:t xml:space="preserve">Banker / Service Provider</w:t>
      </w:r>
    </w:p>
    <w:p>
      <w:pPr>
        <w:pStyle w:val="FirstParagraph"/>
      </w:pPr>
      <w:r>
        <w:rPr>
          <w:bCs/>
          <w:b/>
        </w:rPr>
        <w:t xml:space="preserve">Banker Financial Services (Pty) Ltd</w:t>
      </w:r>
    </w:p>
    <w:p>
      <w:pPr>
        <w:pStyle w:val="BodyText"/>
      </w:pPr>
      <w:r>
        <w:t xml:space="preserve">Licensed Banker &amp; Financial Advisor</w:t>
      </w:r>
    </w:p>
    <w:p>
      <w:pPr>
        <w:pStyle w:val="BodyText"/>
      </w:pPr>
      <w:r>
        <w:t xml:space="preserve">FSCA Registration: FSP 48291</w:t>
      </w:r>
    </w:p>
    <w:p>
      <w:pPr>
        <w:pStyle w:val="BodyText"/>
      </w:pPr>
      <w:r>
        <w:t xml:space="preserve">Operating in Cape Town, South Africa</w:t>
      </w:r>
    </w:p>
    <w:p>
      <w:pPr>
        <w:pStyle w:val="BodyText"/>
      </w:pPr>
      <w:r>
        <w:t xml:space="preserve">Banker Contact: Mrs. L. Naidoo</w:t>
      </w:r>
    </w:p>
    <w:p>
      <w:pPr>
        <w:pStyle w:val="BodyText"/>
      </w:pPr>
      <w:r>
        <w:t xml:space="preserve">Designation: Senior Banker, Corporate Advisory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Banking &amp; Financial Services</w:t>
            </w:r>
          </w:p>
        </w:tc>
        <w:tc>
          <w:tcPr/>
          <w:p>
            <w:pPr>
              <w:pStyle w:val="Compact"/>
              <w:jc w:val="left"/>
            </w:pPr>
            <w:r>
              <w:t xml:space="preserve">Period</w:t>
            </w:r>
          </w:p>
        </w:tc>
        <w:tc>
          <w:tcPr/>
          <w:p>
            <w:pPr>
              <w:pStyle w:val="Compact"/>
              <w:jc w:val="left"/>
            </w:pPr>
            <w:r>
              <w:t xml:space="preserve">Rate (ZAR)</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Corporate Banking Advisory – Quarterly Portfolio Review and Risk Assessment conducted by the assigned Banker at the Cape Town, South Africa office</w:t>
            </w:r>
          </w:p>
        </w:tc>
        <w:tc>
          <w:tcPr/>
          <w:p>
            <w:pPr>
              <w:pStyle w:val="Compact"/>
              <w:jc w:val="left"/>
            </w:pPr>
            <w:r>
              <w:t xml:space="preserve">Q2 2025</w:t>
            </w:r>
          </w:p>
        </w:tc>
        <w:tc>
          <w:tcPr/>
          <w:p>
            <w:pPr>
              <w:pStyle w:val="Compact"/>
              <w:jc w:val="left"/>
            </w:pPr>
            <w:r>
              <w:t xml:space="preserve">R 18,500.00</w:t>
            </w:r>
          </w:p>
        </w:tc>
        <w:tc>
          <w:tcPr/>
          <w:p>
            <w:pPr>
              <w:pStyle w:val="Compact"/>
              <w:jc w:val="left"/>
            </w:pPr>
            <w:r>
              <w:t xml:space="preserve">1</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Trade Finance Structuring – Letter of Credit facilitation and documentary banking services for import/export operations based in Cape Town, South Africa</w:t>
            </w:r>
          </w:p>
        </w:tc>
        <w:tc>
          <w:tcPr/>
          <w:p>
            <w:pPr>
              <w:pStyle w:val="Compact"/>
              <w:jc w:val="left"/>
            </w:pPr>
            <w:r>
              <w:t xml:space="preserve">Apr–Jun 2025</w:t>
            </w:r>
          </w:p>
        </w:tc>
        <w:tc>
          <w:tcPr/>
          <w:p>
            <w:pPr>
              <w:pStyle w:val="Compact"/>
              <w:jc w:val="left"/>
            </w:pPr>
            <w:r>
              <w:t xml:space="preserve">R 12,750.00</w:t>
            </w:r>
          </w:p>
        </w:tc>
        <w:tc>
          <w:tcPr/>
          <w:p>
            <w:pPr>
              <w:pStyle w:val="Compact"/>
              <w:jc w:val="left"/>
            </w:pPr>
            <w:r>
              <w:t xml:space="preserve">3</w:t>
            </w:r>
          </w:p>
        </w:tc>
        <w:tc>
          <w:tcPr/>
          <w:p>
            <w:pPr>
              <w:pStyle w:val="Compact"/>
              <w:jc w:val="left"/>
            </w:pPr>
            <w:r>
              <w:t xml:space="preserve">R 38,250.00</w:t>
            </w:r>
          </w:p>
        </w:tc>
      </w:tr>
      <w:tr>
        <w:tc>
          <w:tcPr/>
          <w:p>
            <w:pPr>
              <w:pStyle w:val="Compact"/>
              <w:jc w:val="left"/>
            </w:pPr>
            <w:r>
              <w:t xml:space="preserve">03</w:t>
            </w:r>
          </w:p>
        </w:tc>
        <w:tc>
          <w:tcPr/>
          <w:p>
            <w:pPr>
              <w:pStyle w:val="Compact"/>
              <w:jc w:val="left"/>
            </w:pPr>
            <w:r>
              <w:t xml:space="preserve">Foreign Exchange Hedging Advisory – Currency risk management consultation provided by the Banker for ZAR/USD and ZAR/EUR exposure</w:t>
            </w:r>
          </w:p>
        </w:tc>
        <w:tc>
          <w:tcPr/>
          <w:p>
            <w:pPr>
              <w:pStyle w:val="Compact"/>
              <w:jc w:val="left"/>
            </w:pPr>
            <w:r>
              <w:t xml:space="preserve">Q2 2025</w:t>
            </w:r>
          </w:p>
        </w:tc>
        <w:tc>
          <w:tcPr/>
          <w:p>
            <w:pPr>
              <w:pStyle w:val="Compact"/>
              <w:jc w:val="left"/>
            </w:pPr>
            <w:r>
              <w:t xml:space="preserve">R 9,800.00</w:t>
            </w:r>
          </w:p>
        </w:tc>
        <w:tc>
          <w:tcPr/>
          <w:p>
            <w:pPr>
              <w:pStyle w:val="Compact"/>
              <w:jc w:val="left"/>
            </w:pPr>
            <w:r>
              <w:t xml:space="preserve">2</w:t>
            </w:r>
          </w:p>
        </w:tc>
        <w:tc>
          <w:tcPr/>
          <w:p>
            <w:pPr>
              <w:pStyle w:val="Compact"/>
              <w:jc w:val="left"/>
            </w:pPr>
            <w:r>
              <w:t xml:space="preserve">R 19,600.00</w:t>
            </w:r>
          </w:p>
        </w:tc>
      </w:tr>
      <w:tr>
        <w:tc>
          <w:tcPr/>
          <w:p>
            <w:pPr>
              <w:pStyle w:val="Compact"/>
              <w:jc w:val="left"/>
            </w:pPr>
            <w:r>
              <w:t xml:space="preserve">04</w:t>
            </w:r>
          </w:p>
        </w:tc>
        <w:tc>
          <w:tcPr/>
          <w:p>
            <w:pPr>
              <w:pStyle w:val="Compact"/>
              <w:jc w:val="left"/>
            </w:pPr>
            <w:r>
              <w:t xml:space="preserve">Compliance &amp; AML Reporting – Anti-Money Laundering compliance review and regulatory reporting in accordance with South African Financial Intelligence Centre Act (FICA) requirements</w:t>
            </w:r>
          </w:p>
        </w:tc>
        <w:tc>
          <w:tcPr/>
          <w:p>
            <w:pPr>
              <w:pStyle w:val="Compact"/>
              <w:jc w:val="left"/>
            </w:pPr>
            <w:r>
              <w:t xml:space="preserve">Q2 2025</w:t>
            </w:r>
          </w:p>
        </w:tc>
        <w:tc>
          <w:tcPr/>
          <w:p>
            <w:pPr>
              <w:pStyle w:val="Compact"/>
              <w:jc w:val="left"/>
            </w:pPr>
            <w:r>
              <w:t xml:space="preserve">R 7,200.00</w:t>
            </w:r>
          </w:p>
        </w:tc>
        <w:tc>
          <w:tcPr/>
          <w:p>
            <w:pPr>
              <w:pStyle w:val="Compact"/>
              <w:jc w:val="left"/>
            </w:pPr>
            <w:r>
              <w:t xml:space="preserve">1</w:t>
            </w:r>
          </w:p>
        </w:tc>
        <w:tc>
          <w:tcPr/>
          <w:p>
            <w:pPr>
              <w:pStyle w:val="Compact"/>
              <w:jc w:val="left"/>
            </w:pPr>
            <w:r>
              <w:t xml:space="preserve">R 7,200.00</w:t>
            </w:r>
          </w:p>
        </w:tc>
      </w:tr>
      <w:tr>
        <w:tc>
          <w:tcPr/>
          <w:p>
            <w:pPr>
              <w:pStyle w:val="Compact"/>
              <w:jc w:val="left"/>
            </w:pPr>
            <w:r>
              <w:t xml:space="preserve">05</w:t>
            </w:r>
          </w:p>
        </w:tc>
        <w:tc>
          <w:tcPr/>
          <w:p>
            <w:pPr>
              <w:pStyle w:val="Compact"/>
              <w:jc w:val="left"/>
            </w:pPr>
            <w:r>
              <w:t xml:space="preserve">On-Site Banker Consultation – Two (2) in-person advisory sessions at the client's Gardens, Cape Town premises for treasury management optimisation</w:t>
            </w:r>
          </w:p>
        </w:tc>
        <w:tc>
          <w:tcPr/>
          <w:p>
            <w:pPr>
              <w:pStyle w:val="Compact"/>
              <w:jc w:val="left"/>
            </w:pPr>
            <w:r>
              <w:t xml:space="preserve">May 2025</w:t>
            </w:r>
          </w:p>
        </w:tc>
        <w:tc>
          <w:tcPr/>
          <w:p>
            <w:pPr>
              <w:pStyle w:val="Compact"/>
              <w:jc w:val="left"/>
            </w:pPr>
            <w:r>
              <w:t xml:space="preserve">R 6,500.00</w:t>
            </w:r>
          </w:p>
        </w:tc>
        <w:tc>
          <w:tcPr/>
          <w:p>
            <w:pPr>
              <w:pStyle w:val="Compact"/>
              <w:jc w:val="left"/>
            </w:pPr>
            <w:r>
              <w:t xml:space="preserve">2</w:t>
            </w:r>
          </w:p>
        </w:tc>
        <w:tc>
          <w:tcPr/>
          <w:p>
            <w:pPr>
              <w:pStyle w:val="Compact"/>
              <w:jc w:val="left"/>
            </w:pPr>
            <w:r>
              <w:t xml:space="preserve">R 13,000.00</w:t>
            </w:r>
          </w:p>
        </w:tc>
      </w:tr>
      <w:tr>
        <w:tc>
          <w:tcPr/>
          <w:p>
            <w:pPr>
              <w:pStyle w:val="Compact"/>
              <w:jc w:val="left"/>
            </w:pPr>
            <w:r>
              <w:t xml:space="preserve">06</w:t>
            </w:r>
          </w:p>
        </w:tc>
        <w:tc>
          <w:tcPr/>
          <w:p>
            <w:pPr>
              <w:pStyle w:val="Compact"/>
              <w:jc w:val="left"/>
            </w:pPr>
            <w:r>
              <w:t xml:space="preserve">Electronic Banking Setup &amp; Integration – Configuration of corporate online banking platform, API integration, and staff training for the Cape Town, South Africa branch</w:t>
            </w:r>
          </w:p>
        </w:tc>
        <w:tc>
          <w:tcPr/>
          <w:p>
            <w:pPr>
              <w:pStyle w:val="Compact"/>
              <w:jc w:val="left"/>
            </w:pPr>
            <w:r>
              <w:t xml:space="preserve">Jun 2025</w:t>
            </w:r>
          </w:p>
        </w:tc>
        <w:tc>
          <w:tcPr/>
          <w:p>
            <w:pPr>
              <w:pStyle w:val="Compact"/>
              <w:jc w:val="left"/>
            </w:pPr>
            <w:r>
              <w:t xml:space="preserve">R 14,300.00</w:t>
            </w:r>
          </w:p>
        </w:tc>
        <w:tc>
          <w:tcPr/>
          <w:p>
            <w:pPr>
              <w:pStyle w:val="Compact"/>
              <w:jc w:val="left"/>
            </w:pPr>
            <w:r>
              <w:t xml:space="preserve">1</w:t>
            </w:r>
          </w:p>
        </w:tc>
        <w:tc>
          <w:tcPr/>
          <w:p>
            <w:pPr>
              <w:pStyle w:val="Compact"/>
              <w:jc w:val="left"/>
            </w:pPr>
            <w:r>
              <w:t xml:space="preserve">R 14,300.00</w:t>
            </w:r>
          </w:p>
        </w:tc>
      </w:tr>
      <w:tr>
        <w:tc>
          <w:tcPr/>
          <w:p>
            <w:pPr>
              <w:pStyle w:val="Compact"/>
              <w:jc w:val="left"/>
            </w:pPr>
            <w:r>
              <w:t xml:space="preserve">07</w:t>
            </w:r>
          </w:p>
        </w:tc>
        <w:tc>
          <w:tcPr/>
          <w:p>
            <w:pPr>
              <w:pStyle w:val="Compact"/>
              <w:jc w:val="left"/>
            </w:pPr>
            <w:r>
              <w:t xml:space="preserve">Annual Banker Fee – Ongoing relationship management, dedicated Banker access, and priority service tier for the financial year 2025/2026</w:t>
            </w:r>
          </w:p>
        </w:tc>
        <w:tc>
          <w:tcPr/>
          <w:p>
            <w:pPr>
              <w:pStyle w:val="Compact"/>
              <w:jc w:val="left"/>
            </w:pPr>
            <w:r>
              <w:t xml:space="preserve">FY 2025/26</w:t>
            </w:r>
          </w:p>
        </w:tc>
        <w:tc>
          <w:tcPr/>
          <w:p>
            <w:pPr>
              <w:pStyle w:val="Compact"/>
              <w:jc w:val="left"/>
            </w:pPr>
            <w:r>
              <w:t xml:space="preserve">R 22,000.00</w:t>
            </w:r>
          </w:p>
        </w:tc>
        <w:tc>
          <w:tcPr/>
          <w:p>
            <w:pPr>
              <w:pStyle w:val="Compact"/>
              <w:jc w:val="left"/>
            </w:pPr>
            <w:r>
              <w:t xml:space="preserve">1</w:t>
            </w:r>
          </w:p>
        </w:tc>
        <w:tc>
          <w:tcPr/>
          <w:p>
            <w:pPr>
              <w:pStyle w:val="Compact"/>
              <w:jc w:val="left"/>
            </w:pPr>
            <w:r>
              <w:t xml:space="preserve">R 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132,850.00</w:t>
            </w:r>
          </w:p>
        </w:tc>
      </w:tr>
      <w:tr>
        <w:tc>
          <w:tcPr/>
          <w:p>
            <w:pPr>
              <w:pStyle w:val="Compact"/>
              <w:jc w:val="left"/>
            </w:pPr>
            <w:r>
              <w:t xml:space="preserve">VAT @ 15%</w:t>
            </w:r>
            <w:r>
              <w:t xml:space="preserve"> </w:t>
            </w:r>
            <w:r>
              <w:t xml:space="preserve">VAT Registered</w:t>
            </w:r>
          </w:p>
        </w:tc>
        <w:tc>
          <w:tcPr/>
          <w:p>
            <w:pPr>
              <w:pStyle w:val="Compact"/>
              <w:jc w:val="left"/>
            </w:pPr>
            <w:r>
              <w:t xml:space="preserve">R 19,927.50</w:t>
            </w:r>
          </w:p>
        </w:tc>
      </w:tr>
      <w:tr>
        <w:tc>
          <w:tcPr/>
          <w:p>
            <w:pPr>
              <w:pStyle w:val="Compact"/>
              <w:jc w:val="left"/>
            </w:pPr>
            <w:r>
              <w:t xml:space="preserve">TOTAL AMOUNT DUE (Incl. VAT)</w:t>
            </w:r>
          </w:p>
        </w:tc>
        <w:tc>
          <w:tcPr/>
          <w:p>
            <w:pPr>
              <w:pStyle w:val="Compact"/>
              <w:jc w:val="left"/>
            </w:pPr>
            <w:r>
              <w:t xml:space="preserve">R 152,777.50</w:t>
            </w:r>
          </w:p>
        </w:tc>
      </w:tr>
    </w:tbl>
    <w:bookmarkStart w:id="24" w:name="X78d893b55ff45d281b6de6488878b1f88a10966"/>
    <w:p>
      <w:pPr>
        <w:pStyle w:val="Heading3"/>
      </w:pPr>
      <w:r>
        <w:t xml:space="preserve">Payment Instructions – Banker Financial Services (Pty) Ltd</w:t>
      </w:r>
    </w:p>
    <w:p>
      <w:pPr>
        <w:pStyle w:val="FirstParagraph"/>
      </w:pPr>
      <w:r>
        <w:rPr>
          <w:bCs/>
          <w:b/>
        </w:rPr>
        <w:t xml:space="preserve">Bank:</w:t>
      </w:r>
      <w:r>
        <w:t xml:space="preserve"> </w:t>
      </w:r>
      <w:r>
        <w:t xml:space="preserve">Standard Bank, South Africa</w:t>
      </w:r>
    </w:p>
    <w:p>
      <w:pPr>
        <w:pStyle w:val="BodyText"/>
      </w:pPr>
      <w:r>
        <w:rPr>
          <w:bCs/>
          <w:b/>
        </w:rPr>
        <w:t xml:space="preserve">Branch:</w:t>
      </w:r>
      <w:r>
        <w:t xml:space="preserve"> </w:t>
      </w:r>
      <w:r>
        <w:t xml:space="preserve">Cape Town, Sea Point</w:t>
      </w:r>
    </w:p>
    <w:p>
      <w:pPr>
        <w:pStyle w:val="BodyText"/>
      </w:pPr>
      <w:r>
        <w:rPr>
          <w:bCs/>
          <w:b/>
        </w:rPr>
        <w:t xml:space="preserve">Account Name:</w:t>
      </w:r>
      <w:r>
        <w:t xml:space="preserve"> </w:t>
      </w:r>
      <w:r>
        <w:t xml:space="preserve">Banker Financial Services (Pty) Ltd</w:t>
      </w:r>
    </w:p>
    <w:p>
      <w:pPr>
        <w:pStyle w:val="BodyText"/>
      </w:pPr>
      <w:r>
        <w:rPr>
          <w:bCs/>
          <w:b/>
        </w:rPr>
        <w:t xml:space="preserve">Account Number:</w:t>
      </w:r>
      <w:r>
        <w:t xml:space="preserve"> </w:t>
      </w:r>
      <w:r>
        <w:t xml:space="preserve">104 582 9371</w:t>
      </w:r>
    </w:p>
    <w:p>
      <w:pPr>
        <w:pStyle w:val="BodyText"/>
      </w:pPr>
      <w:r>
        <w:rPr>
          <w:bCs/>
          <w:b/>
        </w:rPr>
        <w:t xml:space="preserve">Branch Code:</w:t>
      </w:r>
      <w:r>
        <w:t xml:space="preserve"> </w:t>
      </w:r>
      <w:r>
        <w:t xml:space="preserve">051001</w:t>
      </w:r>
    </w:p>
    <w:p>
      <w:pPr>
        <w:pStyle w:val="BodyText"/>
      </w:pPr>
      <w:r>
        <w:rPr>
          <w:bCs/>
          <w:b/>
        </w:rPr>
        <w:t xml:space="preserve">SWIFT Code:</w:t>
      </w:r>
      <w:r>
        <w:t xml:space="preserve"> </w:t>
      </w:r>
      <w:r>
        <w:t xml:space="preserve">SBZAZAJJ</w:t>
      </w:r>
    </w:p>
    <w:p>
      <w:pPr>
        <w:pStyle w:val="BodyText"/>
      </w:pPr>
      <w:r>
        <w:rPr>
          <w:bCs/>
          <w:b/>
        </w:rPr>
        <w:t xml:space="preserve">Payment Reference:</w:t>
      </w:r>
      <w:r>
        <w:t xml:space="preserve"> </w:t>
      </w:r>
      <w:r>
        <w:t xml:space="preserve">BKS-2025-04782</w:t>
      </w:r>
    </w:p>
    <w:p>
      <w:pPr>
        <w:pStyle w:val="BodyText"/>
      </w:pPr>
      <w:r>
        <w:rPr>
          <w:bCs/>
          <w:b/>
        </w:rPr>
        <w:t xml:space="preserve">Payment Method:</w:t>
      </w:r>
      <w:r>
        <w:t xml:space="preserve"> </w:t>
      </w:r>
      <w:r>
        <w:t xml:space="preserve">EFT / Electronic Funds Transfer (South African Rand – ZAR)</w:t>
      </w:r>
    </w:p>
    <w:p>
      <w:pPr>
        <w:pStyle w:val="BodyText"/>
      </w:pPr>
      <w:r>
        <w:rPr>
          <w:bCs/>
          <w:b/>
        </w:rPr>
        <w:t xml:space="preserve">Due Date:</w:t>
      </w:r>
      <w:r>
        <w:t xml:space="preserve"> </w:t>
      </w:r>
      <w:r>
        <w:t xml:space="preserve">15 July 2025 (30 days from Invoice date)</w:t>
      </w:r>
    </w:p>
    <w:p>
      <w:pPr>
        <w:pStyle w:val="BodyText"/>
      </w:pPr>
      <w:r>
        <w:rPr>
          <w:bCs/>
          <w:b/>
        </w:rPr>
        <w:t xml:space="preserve">Overdue Penalty:</w:t>
      </w:r>
      <w:r>
        <w:t xml:space="preserve"> </w:t>
      </w:r>
      <w:r>
        <w:t xml:space="preserve">1.5% per month on outstanding balance as per South African National Credit Act provisions</w:t>
      </w:r>
    </w:p>
    <w:bookmarkEnd w:id="24"/>
    <w:bookmarkStart w:id="25" w:name="terms-conditions-notes"/>
    <w:p>
      <w:pPr>
        <w:pStyle w:val="Heading3"/>
      </w:pPr>
      <w:r>
        <w:t xml:space="preserve">Terms, Conditions &amp; Notes</w:t>
      </w:r>
    </w:p>
    <w:p>
      <w:pPr>
        <w:pStyle w:val="FirstParagraph"/>
      </w:pPr>
      <w:r>
        <w:t xml:space="preserve">1. This Invoice is issued by Banker Financial Services (Pty) Ltd, a registered financial services provider operating in Cape Town, South Africa, and is governed by the laws of the Republic of South Africa.</w:t>
      </w:r>
    </w:p>
    <w:p>
      <w:pPr>
        <w:pStyle w:val="BodyText"/>
      </w:pPr>
      <w:r>
        <w:t xml:space="preserve">2. The Banker assigned to this account, Mrs. L. Naidoo (FSP 48291), is the sole point of contact for all queries relating to this Invoice and the services rendered. All communications regarding this Invoice should be directed to the Banker's office at Sea Point, Cape Town.</w:t>
      </w:r>
    </w:p>
    <w:p>
      <w:pPr>
        <w:pStyle w:val="BodyText"/>
      </w:pPr>
      <w:r>
        <w:t xml:space="preserve">3. Payment is due within thirty (30) calendar days from the Invoice date. Failure to settle this Invoice by the due date of 15 July 2025 will result in the application of interest at the rate of 1.5% per month, compounded monthly, in accordance with the National Credit Act 34 of 2005 (South Africa).</w:t>
      </w:r>
    </w:p>
    <w:p>
      <w:pPr>
        <w:pStyle w:val="BodyText"/>
      </w:pPr>
      <w:r>
        <w:t xml:space="preserve">4. All services described in this Invoice were rendered in compliance with the Financial Advisory and Intermediary Services Act (FAIS) 37 of 2002 and the Banks Act 94 of 1990 as applicable in South Africa, Cape Town jurisdiction.</w:t>
      </w:r>
    </w:p>
    <w:p>
      <w:pPr>
        <w:pStyle w:val="BodyText"/>
      </w:pPr>
      <w:r>
        <w:t xml:space="preserve">5. The Banker warrants that all advisory services, trade finance facilitation, and compliance reporting outlined herein were performed with due professional care and in accordance with the Financial Sector Conduct Authority (FSCA) code of conduct for South Africa.</w:t>
      </w:r>
    </w:p>
    <w:p>
      <w:pPr>
        <w:pStyle w:val="BodyText"/>
      </w:pPr>
      <w:r>
        <w:t xml:space="preserve">6. This Invoice is valid for a period of ninety (90) days from the date of issue. After this period, the Banker reserves the right to reissue the Invoice with updated rates and applicable surcharges.</w:t>
      </w:r>
    </w:p>
    <w:p>
      <w:pPr>
        <w:pStyle w:val="BodyText"/>
      </w:pPr>
      <w:r>
        <w:t xml:space="preserve">7. For any disputes regarding this Invoice, the parties agree to first attempt resolution through mediation in Cape Town, South Africa, before resorting to the courts of competent jurisdiction in the Western Cape Division of the High Court of South Africa.</w:t>
      </w:r>
    </w:p>
    <w:p>
      <w:pPr>
        <w:pStyle w:val="BodyText"/>
      </w:pPr>
      <w:r>
        <w:t xml:space="preserve">8. VAT is charged at the standard rate of 15% as prescribed by the South African Revenue Service (SARS). This Invoice constitutes a valid tax document for VAT deduction purposes in South Africa.</w:t>
      </w:r>
    </w:p>
    <w:bookmarkEnd w:id="25"/>
    <w:p>
      <w:pPr>
        <w:pStyle w:val="BodyText"/>
      </w:pPr>
      <w:r>
        <w:rPr>
          <w:bCs/>
          <w:b/>
        </w:rPr>
        <w:t xml:space="preserve">Banker Financial Services (Pty) Ltd</w:t>
      </w:r>
      <w:r>
        <w:t xml:space="preserve"> </w:t>
      </w:r>
      <w:r>
        <w:t xml:space="preserve">| Registered in South Africa | Reg. No. 2019/48291/07</w:t>
      </w:r>
    </w:p>
    <w:p>
      <w:pPr>
        <w:pStyle w:val="BodyText"/>
      </w:pPr>
      <w:r>
        <w:t xml:space="preserve">120 Sea Point Promenade, Sea Point, Cape Town, 8005, Western Cape, South Africa</w:t>
      </w:r>
    </w:p>
    <w:p>
      <w:pPr>
        <w:pStyle w:val="BodyText"/>
      </w:pPr>
      <w:r>
        <w:t xml:space="preserve">This Invoice was generated electronically and is valid without a physical signature. For verification, contact the Banker's office at +27 21 424 5678.</w:t>
      </w:r>
    </w:p>
    <w:p>
      <w:pPr>
        <w:pStyle w:val="BodyText"/>
      </w:pPr>
      <w:r>
        <w:t xml:space="preserve">© 2025 Banker Financial Services (Pty) Ltd – Cape Town, South Africa.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Financial Services - Cape Town, South Africa</dc:title>
  <dc:creator/>
  <dc:language>en</dc:language>
  <cp:keywords/>
  <dcterms:created xsi:type="dcterms:W3CDTF">2026-10-10T09:23:03Z</dcterms:created>
  <dcterms:modified xsi:type="dcterms:W3CDTF">2026-10-10T09:23:03Z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