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Seoul,</w:t>
      </w:r>
      <w:r>
        <w:t xml:space="preserve"> </w:t>
      </w:r>
      <w:r>
        <w:t xml:space="preserve">South</w:t>
      </w:r>
      <w:r>
        <w:t xml:space="preserve"> </w:t>
      </w:r>
      <w:r>
        <w:t xml:space="preserve">Korea</w:t>
      </w:r>
    </w:p>
    <w:bookmarkStart w:id="20" w:name="seoul-premier-banking-group"/>
    <w:p>
      <w:pPr>
        <w:pStyle w:val="Heading1"/>
      </w:pPr>
      <w:r>
        <w:t xml:space="preserve">Seoul Premier Banking Group</w:t>
      </w:r>
    </w:p>
    <w:p>
      <w:pPr>
        <w:pStyle w:val="FirstParagraph"/>
      </w:pPr>
      <w:r>
        <w:t xml:space="preserve">42, Teheran-ro, Gangnam-gu, Seoul 06236, South Korea</w:t>
      </w:r>
    </w:p>
    <w:p>
      <w:pPr>
        <w:pStyle w:val="BodyText"/>
      </w:pPr>
      <w:r>
        <w:t xml:space="preserve">Tel: +82-2-3456-7890 | Email: billing@seoulpremierbanking.kr</w:t>
      </w:r>
    </w:p>
    <w:p>
      <w:pPr>
        <w:pStyle w:val="BodyText"/>
      </w:pPr>
      <w:r>
        <w:t xml:space="preserve">Business Registration No. (사업자등록번호): 123-45-67890</w:t>
      </w:r>
    </w:p>
    <w:p>
      <w:pPr>
        <w:pStyle w:val="BodyText"/>
      </w:pPr>
      <w:r>
        <w:t xml:space="preserve">VAT Registration No.: 123-45-67890</w:t>
      </w:r>
    </w:p>
    <w:bookmarkEnd w:id="20"/>
    <w:bookmarkStart w:id="21" w:name="invoice"/>
    <w:p>
      <w:pPr>
        <w:pStyle w:val="Heading2"/>
      </w:pPr>
      <w:r>
        <w:t xml:space="preserve">INVOICE</w:t>
      </w:r>
    </w:p>
    <w:p>
      <w:pPr>
        <w:pStyle w:val="FirstParagraph"/>
      </w:pPr>
      <w:r>
        <w:t xml:space="preserve">Invoice No.:</w:t>
      </w:r>
      <w:r>
        <w:t xml:space="preserve"> </w:t>
      </w:r>
      <w:r>
        <w:t xml:space="preserve">SPB-2025-00487</w:t>
      </w:r>
    </w:p>
    <w:p>
      <w:pPr>
        <w:pStyle w:val="BodyText"/>
      </w:pPr>
      <w:r>
        <w:t xml:space="preserve">Issue Date:</w:t>
      </w:r>
      <w:r>
        <w:t xml:space="preserve"> </w:t>
      </w:r>
      <w:r>
        <w:t xml:space="preserve">June 15, 2025</w:t>
      </w:r>
    </w:p>
    <w:p>
      <w:pPr>
        <w:pStyle w:val="BodyText"/>
      </w:pPr>
      <w:r>
        <w:t xml:space="preserve">Due Date:</w:t>
      </w:r>
      <w:r>
        <w:t xml:space="preserve"> </w:t>
      </w:r>
      <w:r>
        <w:t xml:space="preserve">July 15, 2025</w:t>
      </w:r>
    </w:p>
    <w:p>
      <w:pPr>
        <w:pStyle w:val="BodyText"/>
      </w:pPr>
      <w:r>
        <w:t xml:space="preserve">Payment Terms:</w:t>
      </w:r>
      <w:r>
        <w:t xml:space="preserve"> </w:t>
      </w:r>
      <w:r>
        <w:t xml:space="preserve">Net 30</w:t>
      </w:r>
    </w:p>
    <w:p>
      <w:pPr>
        <w:pStyle w:val="BodyText"/>
      </w:pPr>
      <w:r>
        <w:t xml:space="preserve">Banker Services</w:t>
      </w:r>
    </w:p>
    <w:bookmarkEnd w:id="21"/>
    <w:bookmarkStart w:id="22" w:name="bill-to"/>
    <w:p>
      <w:pPr>
        <w:pStyle w:val="Heading3"/>
      </w:pPr>
      <w:r>
        <w:t xml:space="preserve">Bill To</w:t>
      </w:r>
    </w:p>
    <w:p>
      <w:pPr>
        <w:pStyle w:val="FirstParagraph"/>
      </w:pPr>
      <w:r>
        <w:rPr>
          <w:bCs/>
          <w:b/>
        </w:rPr>
        <w:t xml:space="preserve">Hanbit Technology Co., Ltd.</w:t>
      </w:r>
    </w:p>
    <w:p>
      <w:pPr>
        <w:pStyle w:val="BodyText"/>
      </w:pPr>
      <w:r>
        <w:t xml:space="preserve">15, Pangyo-ro 459beon-gil, Bundang-gu</w:t>
      </w:r>
    </w:p>
    <w:p>
      <w:pPr>
        <w:pStyle w:val="BodyText"/>
      </w:pPr>
      <w:r>
        <w:t xml:space="preserve">Gyeonggi-do 13487, South Korea</w:t>
      </w:r>
    </w:p>
    <w:p>
      <w:pPr>
        <w:pStyle w:val="BodyText"/>
      </w:pPr>
      <w:r>
        <w:t xml:space="preserve">Attn: Mr. Kim Soo-jin, CFO</w:t>
      </w:r>
    </w:p>
    <w:p>
      <w:pPr>
        <w:pStyle w:val="BodyText"/>
      </w:pPr>
      <w:r>
        <w:t xml:space="preserve">Tax ID: 234-56-78901</w:t>
      </w:r>
    </w:p>
    <w:bookmarkEnd w:id="22"/>
    <w:bookmarkStart w:id="23" w:name="prepared-by-banker"/>
    <w:p>
      <w:pPr>
        <w:pStyle w:val="Heading3"/>
      </w:pPr>
      <w:r>
        <w:t xml:space="preserve">Prepared By (Banker)</w:t>
      </w:r>
    </w:p>
    <w:p>
      <w:pPr>
        <w:pStyle w:val="FirstParagraph"/>
      </w:pPr>
      <w:r>
        <w:rPr>
          <w:bCs/>
          <w:b/>
        </w:rPr>
        <w:t xml:space="preserve">Ms. Park Ji-yeon, Senior Banker</w:t>
      </w:r>
    </w:p>
    <w:p>
      <w:pPr>
        <w:pStyle w:val="BodyText"/>
      </w:pPr>
      <w:r>
        <w:t xml:space="preserve">Corporate Banking Division</w:t>
      </w:r>
    </w:p>
    <w:p>
      <w:pPr>
        <w:pStyle w:val="BodyText"/>
      </w:pPr>
      <w:r>
        <w:t xml:space="preserve">Seoul Premier Banking Group</w:t>
      </w:r>
    </w:p>
    <w:p>
      <w:pPr>
        <w:pStyle w:val="BodyText"/>
      </w:pPr>
      <w:r>
        <w:t xml:space="preserve">License No. BK-2019-00452</w:t>
      </w:r>
    </w:p>
    <w:p>
      <w:pPr>
        <w:pStyle w:val="BodyText"/>
      </w:pPr>
      <w:r>
        <w:t xml:space="preserve">Seoul Financial Services Commission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Banking Services</w:t>
            </w:r>
          </w:p>
        </w:tc>
        <w:tc>
          <w:tcPr/>
          <w:p>
            <w:pPr>
              <w:pStyle w:val="Compact"/>
              <w:jc w:val="left"/>
            </w:pPr>
            <w:r>
              <w:t xml:space="preserve">Service Period</w:t>
            </w:r>
          </w:p>
        </w:tc>
        <w:tc>
          <w:tcPr/>
          <w:p>
            <w:pPr>
              <w:pStyle w:val="Compact"/>
              <w:jc w:val="left"/>
            </w:pPr>
            <w:r>
              <w:t xml:space="preserve">Rate (KRW)</w:t>
            </w:r>
          </w:p>
        </w:tc>
        <w:tc>
          <w:tcPr/>
          <w:p>
            <w:pPr>
              <w:pStyle w:val="Compact"/>
              <w:jc w:val="left"/>
            </w:pPr>
            <w:r>
              <w:t xml:space="preserve">Qty</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Corporate Account Management &amp; Advisory – Ongoing banker relationship management for multi-currency corporate accounts held in Seoul, South Korea</w:t>
            </w:r>
          </w:p>
        </w:tc>
        <w:tc>
          <w:tcPr/>
          <w:p>
            <w:pPr>
              <w:pStyle w:val="Compact"/>
              <w:jc w:val="left"/>
            </w:pPr>
            <w:r>
              <w:t xml:space="preserve">Jan 1 – Jun 30, 2025</w:t>
            </w:r>
          </w:p>
        </w:tc>
        <w:tc>
          <w:tcPr/>
          <w:p>
            <w:pPr>
              <w:pStyle w:val="Compact"/>
              <w:jc w:val="left"/>
            </w:pPr>
            <w:r>
              <w:t xml:space="preserve">1,200,000</w:t>
            </w:r>
          </w:p>
        </w:tc>
        <w:tc>
          <w:tcPr/>
          <w:p>
            <w:pPr>
              <w:pStyle w:val="Compact"/>
              <w:jc w:val="left"/>
            </w:pPr>
            <w:r>
              <w:t xml:space="preserve">6</w:t>
            </w:r>
          </w:p>
        </w:tc>
        <w:tc>
          <w:tcPr/>
          <w:p>
            <w:pPr>
              <w:pStyle w:val="Compact"/>
              <w:jc w:val="left"/>
            </w:pPr>
            <w:r>
              <w:t xml:space="preserve">7,200,000</w:t>
            </w:r>
          </w:p>
        </w:tc>
      </w:tr>
      <w:tr>
        <w:tc>
          <w:tcPr/>
          <w:p>
            <w:pPr>
              <w:pStyle w:val="Compact"/>
              <w:jc w:val="left"/>
            </w:pPr>
            <w:r>
              <w:t xml:space="preserve">2</w:t>
            </w:r>
          </w:p>
        </w:tc>
        <w:tc>
          <w:tcPr/>
          <w:p>
            <w:pPr>
              <w:pStyle w:val="Compact"/>
              <w:jc w:val="left"/>
            </w:pPr>
            <w:r>
              <w:t xml:space="preserve">Trade Finance &amp; Letter of Credit Issuance – Processing and negotiation of import/export Letters of Credit for international trade operations</w:t>
            </w:r>
          </w:p>
        </w:tc>
        <w:tc>
          <w:tcPr/>
          <w:p>
            <w:pPr>
              <w:pStyle w:val="Compact"/>
              <w:jc w:val="left"/>
            </w:pPr>
            <w:r>
              <w:t xml:space="preserve">Q1 – Q2 2025</w:t>
            </w:r>
          </w:p>
        </w:tc>
        <w:tc>
          <w:tcPr/>
          <w:p>
            <w:pPr>
              <w:pStyle w:val="Compact"/>
              <w:jc w:val="left"/>
            </w:pPr>
            <w:r>
              <w:t xml:space="preserve">850,000</w:t>
            </w:r>
          </w:p>
        </w:tc>
        <w:tc>
          <w:tcPr/>
          <w:p>
            <w:pPr>
              <w:pStyle w:val="Compact"/>
              <w:jc w:val="left"/>
            </w:pPr>
            <w:r>
              <w:t xml:space="preserve">12</w:t>
            </w:r>
          </w:p>
        </w:tc>
        <w:tc>
          <w:tcPr/>
          <w:p>
            <w:pPr>
              <w:pStyle w:val="Compact"/>
              <w:jc w:val="left"/>
            </w:pPr>
            <w:r>
              <w:t xml:space="preserve">10,200,000</w:t>
            </w:r>
          </w:p>
        </w:tc>
      </w:tr>
      <w:tr>
        <w:tc>
          <w:tcPr/>
          <w:p>
            <w:pPr>
              <w:pStyle w:val="Compact"/>
              <w:jc w:val="left"/>
            </w:pPr>
            <w:r>
              <w:t xml:space="preserve">3</w:t>
            </w:r>
          </w:p>
        </w:tc>
        <w:tc>
          <w:tcPr/>
          <w:p>
            <w:pPr>
              <w:pStyle w:val="Compact"/>
              <w:jc w:val="left"/>
            </w:pPr>
            <w:r>
              <w:t xml:space="preserve">Foreign Exchange Advisory &amp; Hedging Services – Currency risk management consulting by a dedicated banker for USD/KRW and JPY/KRW exposure</w:t>
            </w:r>
          </w:p>
        </w:tc>
        <w:tc>
          <w:tcPr/>
          <w:p>
            <w:pPr>
              <w:pStyle w:val="Compact"/>
              <w:jc w:val="left"/>
            </w:pPr>
            <w:r>
              <w:t xml:space="preserve">Jan 1 – Jun 30, 2025</w:t>
            </w:r>
          </w:p>
        </w:tc>
        <w:tc>
          <w:tcPr/>
          <w:p>
            <w:pPr>
              <w:pStyle w:val="Compact"/>
              <w:jc w:val="left"/>
            </w:pPr>
            <w:r>
              <w:t xml:space="preserve">950,000</w:t>
            </w:r>
          </w:p>
        </w:tc>
        <w:tc>
          <w:tcPr/>
          <w:p>
            <w:pPr>
              <w:pStyle w:val="Compact"/>
              <w:jc w:val="left"/>
            </w:pPr>
            <w:r>
              <w:t xml:space="preserve">6</w:t>
            </w:r>
          </w:p>
        </w:tc>
        <w:tc>
          <w:tcPr/>
          <w:p>
            <w:pPr>
              <w:pStyle w:val="Compact"/>
              <w:jc w:val="left"/>
            </w:pPr>
            <w:r>
              <w:t xml:space="preserve">5,700,000</w:t>
            </w:r>
          </w:p>
        </w:tc>
      </w:tr>
      <w:tr>
        <w:tc>
          <w:tcPr/>
          <w:p>
            <w:pPr>
              <w:pStyle w:val="Compact"/>
              <w:jc w:val="left"/>
            </w:pPr>
            <w:r>
              <w:t xml:space="preserve">4</w:t>
            </w:r>
          </w:p>
        </w:tc>
        <w:tc>
          <w:tcPr/>
          <w:p>
            <w:pPr>
              <w:pStyle w:val="Compact"/>
              <w:jc w:val="left"/>
            </w:pPr>
            <w:r>
              <w:t xml:space="preserve">Loan Origination &amp; Syndication – Structuring and coordination of a 50 billion KRW syndicated loan facility with co-lenders in Seoul</w:t>
            </w:r>
          </w:p>
        </w:tc>
        <w:tc>
          <w:tcPr/>
          <w:p>
            <w:pPr>
              <w:pStyle w:val="Compact"/>
              <w:jc w:val="left"/>
            </w:pPr>
            <w:r>
              <w:t xml:space="preserve">Mar 2025</w:t>
            </w:r>
          </w:p>
        </w:tc>
        <w:tc>
          <w:tcPr/>
          <w:p>
            <w:pPr>
              <w:pStyle w:val="Compact"/>
              <w:jc w:val="left"/>
            </w:pPr>
            <w:r>
              <w:t xml:space="preserve">3,500,000</w:t>
            </w:r>
          </w:p>
        </w:tc>
        <w:tc>
          <w:tcPr/>
          <w:p>
            <w:pPr>
              <w:pStyle w:val="Compact"/>
              <w:jc w:val="left"/>
            </w:pPr>
            <w:r>
              <w:t xml:space="preserve">1</w:t>
            </w:r>
          </w:p>
        </w:tc>
        <w:tc>
          <w:tcPr/>
          <w:p>
            <w:pPr>
              <w:pStyle w:val="Compact"/>
              <w:jc w:val="left"/>
            </w:pPr>
            <w:r>
              <w:t xml:space="preserve">3,500,000</w:t>
            </w:r>
          </w:p>
        </w:tc>
      </w:tr>
      <w:tr>
        <w:tc>
          <w:tcPr/>
          <w:p>
            <w:pPr>
              <w:pStyle w:val="Compact"/>
              <w:jc w:val="left"/>
            </w:pPr>
            <w:r>
              <w:t xml:space="preserve">5</w:t>
            </w:r>
          </w:p>
        </w:tc>
        <w:tc>
          <w:tcPr/>
          <w:p>
            <w:pPr>
              <w:pStyle w:val="Compact"/>
              <w:jc w:val="left"/>
            </w:pPr>
            <w:r>
              <w:t xml:space="preserve">Treasury Management &amp; Cash Flow Optimization – Daily liquidity monitoring, automated sweep accounts, and yield enhancement strategies</w:t>
            </w:r>
          </w:p>
        </w:tc>
        <w:tc>
          <w:tcPr/>
          <w:p>
            <w:pPr>
              <w:pStyle w:val="Compact"/>
              <w:jc w:val="left"/>
            </w:pPr>
            <w:r>
              <w:t xml:space="preserve">Jan 1 – Jun 30, 2025</w:t>
            </w:r>
          </w:p>
        </w:tc>
        <w:tc>
          <w:tcPr/>
          <w:p>
            <w:pPr>
              <w:pStyle w:val="Compact"/>
              <w:jc w:val="left"/>
            </w:pPr>
            <w:r>
              <w:t xml:space="preserve">780,000</w:t>
            </w:r>
          </w:p>
        </w:tc>
        <w:tc>
          <w:tcPr/>
          <w:p>
            <w:pPr>
              <w:pStyle w:val="Compact"/>
              <w:jc w:val="left"/>
            </w:pPr>
            <w:r>
              <w:t xml:space="preserve">6</w:t>
            </w:r>
          </w:p>
        </w:tc>
        <w:tc>
          <w:tcPr/>
          <w:p>
            <w:pPr>
              <w:pStyle w:val="Compact"/>
              <w:jc w:val="left"/>
            </w:pPr>
            <w:r>
              <w:t xml:space="preserve">4,680,000</w:t>
            </w:r>
          </w:p>
        </w:tc>
      </w:tr>
      <w:tr>
        <w:tc>
          <w:tcPr/>
          <w:p>
            <w:pPr>
              <w:pStyle w:val="Compact"/>
              <w:jc w:val="left"/>
            </w:pPr>
            <w:r>
              <w:t xml:space="preserve">6</w:t>
            </w:r>
          </w:p>
        </w:tc>
        <w:tc>
          <w:tcPr/>
          <w:p>
            <w:pPr>
              <w:pStyle w:val="Compact"/>
              <w:jc w:val="left"/>
            </w:pPr>
            <w:r>
              <w:t xml:space="preserve">Regulatory Compliance &amp; AML Reporting – Anti-Money Laundering compliance review and reporting to the Financial Supervisory Service of South Korea</w:t>
            </w:r>
          </w:p>
        </w:tc>
        <w:tc>
          <w:tcPr/>
          <w:p>
            <w:pPr>
              <w:pStyle w:val="Compact"/>
              <w:jc w:val="left"/>
            </w:pPr>
            <w:r>
              <w:t xml:space="preserve">Q1 – Q2 2025</w:t>
            </w:r>
          </w:p>
        </w:tc>
        <w:tc>
          <w:tcPr/>
          <w:p>
            <w:pPr>
              <w:pStyle w:val="Compact"/>
              <w:jc w:val="left"/>
            </w:pPr>
            <w:r>
              <w:t xml:space="preserve">620,000</w:t>
            </w:r>
          </w:p>
        </w:tc>
        <w:tc>
          <w:tcPr/>
          <w:p>
            <w:pPr>
              <w:pStyle w:val="Compact"/>
              <w:jc w:val="left"/>
            </w:pPr>
            <w:r>
              <w:t xml:space="preserve">2</w:t>
            </w:r>
          </w:p>
        </w:tc>
        <w:tc>
          <w:tcPr/>
          <w:p>
            <w:pPr>
              <w:pStyle w:val="Compact"/>
              <w:jc w:val="left"/>
            </w:pPr>
            <w:r>
              <w:t xml:space="preserve">1,240,000</w:t>
            </w:r>
          </w:p>
        </w:tc>
      </w:tr>
      <w:tr>
        <w:tc>
          <w:tcPr/>
          <w:p>
            <w:pPr>
              <w:pStyle w:val="Compact"/>
              <w:jc w:val="left"/>
            </w:pPr>
            <w:r>
              <w:t xml:space="preserve">7</w:t>
            </w:r>
          </w:p>
        </w:tc>
        <w:tc>
          <w:tcPr/>
          <w:p>
            <w:pPr>
              <w:pStyle w:val="Compact"/>
              <w:jc w:val="left"/>
            </w:pPr>
            <w:r>
              <w:t xml:space="preserve">Executive Banking Seminar – Private session for C-suite executives on 2025 South Korean monetary policy outlook and capital market strategies</w:t>
            </w:r>
          </w:p>
        </w:tc>
        <w:tc>
          <w:tcPr/>
          <w:p>
            <w:pPr>
              <w:pStyle w:val="Compact"/>
              <w:jc w:val="left"/>
            </w:pPr>
            <w:r>
              <w:t xml:space="preserve">May 22, 2025</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34,020,000</w:t>
            </w:r>
          </w:p>
        </w:tc>
      </w:tr>
      <w:tr>
        <w:tc>
          <w:tcPr/>
          <w:p>
            <w:pPr>
              <w:pStyle w:val="Compact"/>
              <w:jc w:val="left"/>
            </w:pPr>
            <w:r>
              <w:t xml:space="preserve">VAT (10% – South Korea)</w:t>
            </w:r>
          </w:p>
        </w:tc>
        <w:tc>
          <w:tcPr/>
          <w:p>
            <w:pPr>
              <w:pStyle w:val="Compact"/>
              <w:jc w:val="left"/>
            </w:pPr>
            <w:r>
              <w:t xml:space="preserve">3,402,000</w:t>
            </w:r>
          </w:p>
        </w:tc>
      </w:tr>
      <w:tr>
        <w:tc>
          <w:tcPr/>
          <w:p>
            <w:pPr>
              <w:pStyle w:val="Compact"/>
              <w:jc w:val="left"/>
            </w:pPr>
            <w:r>
              <w:t xml:space="preserve">Early Payment Discount (2% if paid before Jul 1)</w:t>
            </w:r>
          </w:p>
        </w:tc>
        <w:tc>
          <w:tcPr/>
          <w:p>
            <w:pPr>
              <w:pStyle w:val="Compact"/>
              <w:jc w:val="left"/>
            </w:pPr>
            <w:r>
              <w:t xml:space="preserve">-680,400</w:t>
            </w:r>
          </w:p>
        </w:tc>
      </w:tr>
      <w:tr>
        <w:tc>
          <w:tcPr/>
          <w:p>
            <w:pPr>
              <w:pStyle w:val="Compact"/>
              <w:jc w:val="left"/>
            </w:pPr>
            <w:r>
              <w:t xml:space="preserve">Grand Total Due (KRW)</w:t>
            </w:r>
          </w:p>
        </w:tc>
        <w:tc>
          <w:tcPr/>
          <w:p>
            <w:pPr>
              <w:pStyle w:val="Compact"/>
              <w:jc w:val="left"/>
            </w:pPr>
            <w:r>
              <w:t xml:space="preserve">36,741,600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Seoul Premier Banking Group, Gangnam Main Branch, Seoul, South Korea</w:t>
      </w:r>
    </w:p>
    <w:p>
      <w:pPr>
        <w:pStyle w:val="BodyText"/>
      </w:pPr>
      <w:r>
        <w:rPr>
          <w:bCs/>
          <w:b/>
        </w:rPr>
        <w:t xml:space="preserve">Account Name:</w:t>
      </w:r>
      <w:r>
        <w:t xml:space="preserve"> </w:t>
      </w:r>
      <w:r>
        <w:t xml:space="preserve">Seoul Premier Banking Group – Corporate Billing</w:t>
      </w:r>
    </w:p>
    <w:p>
      <w:pPr>
        <w:pStyle w:val="BodyText"/>
      </w:pPr>
      <w:r>
        <w:rPr>
          <w:bCs/>
          <w:b/>
        </w:rPr>
        <w:t xml:space="preserve">Account Number:</w:t>
      </w:r>
      <w:r>
        <w:t xml:space="preserve"> </w:t>
      </w:r>
      <w:r>
        <w:t xml:space="preserve">110-2234-5678-901</w:t>
      </w:r>
    </w:p>
    <w:p>
      <w:pPr>
        <w:pStyle w:val="BodyText"/>
      </w:pPr>
      <w:r>
        <w:rPr>
          <w:bCs/>
          <w:b/>
        </w:rPr>
        <w:t xml:space="preserve">SWIFT/BIC Code:</w:t>
      </w:r>
      <w:r>
        <w:t xml:space="preserve"> </w:t>
      </w:r>
      <w:r>
        <w:t xml:space="preserve">SPBK KR SE</w:t>
      </w:r>
    </w:p>
    <w:p>
      <w:pPr>
        <w:pStyle w:val="BodyText"/>
      </w:pPr>
      <w:r>
        <w:rPr>
          <w:bCs/>
          <w:b/>
        </w:rPr>
        <w:t xml:space="preserve">IBAN (Korean format):</w:t>
      </w:r>
      <w:r>
        <w:t xml:space="preserve"> </w:t>
      </w:r>
      <w:r>
        <w:t xml:space="preserve">KR33 SPBK 1102 2345 6789 01</w:t>
      </w:r>
    </w:p>
    <w:p>
      <w:pPr>
        <w:pStyle w:val="BodyText"/>
      </w:pPr>
      <w:r>
        <w:rPr>
          <w:bCs/>
          <w:b/>
        </w:rPr>
        <w:t xml:space="preserve">Reference:</w:t>
      </w:r>
      <w:r>
        <w:t xml:space="preserve"> </w:t>
      </w:r>
      <w:r>
        <w:t xml:space="preserve">Please cite Invoice No. SPB-2025-00487 in all payment communications.</w:t>
      </w:r>
    </w:p>
    <w:p>
      <w:pPr>
        <w:pStyle w:val="BodyText"/>
      </w:pPr>
      <w:r>
        <w:rPr>
          <w:bCs/>
          <w:b/>
        </w:rPr>
        <w:t xml:space="preserve">Accepted Methods:</w:t>
      </w:r>
      <w:r>
        <w:t xml:space="preserve"> </w:t>
      </w:r>
      <w:r>
        <w:t xml:space="preserve">Bank wire transfer (KRW, USD, EUR), Corporate check, or approved credit facility drawdown.</w:t>
      </w:r>
    </w:p>
    <w:bookmarkEnd w:id="24"/>
    <w:bookmarkStart w:id="25" w:name="important-notes-terms"/>
    <w:p>
      <w:pPr>
        <w:pStyle w:val="Heading3"/>
      </w:pPr>
      <w:r>
        <w:t xml:space="preserve">Important Notes &amp; Terms</w:t>
      </w:r>
    </w:p>
    <w:p>
      <w:pPr>
        <w:pStyle w:val="FirstParagraph"/>
      </w:pPr>
      <w:r>
        <w:t xml:space="preserve">1. This invoice is issued by a licensed Banker operating under the jurisdiction of the Financial Supervisory Service (FSS) of South Korea, Seoul. All services rendered comply with the Banking Act of the Republic of Korea.</w:t>
      </w:r>
    </w:p>
    <w:p>
      <w:pPr>
        <w:pStyle w:val="BodyText"/>
      </w:pPr>
      <w:r>
        <w:t xml:space="preserve">2. Payment is due within thirty (30) calendar days from the issue date. Late payments will incur a penalty interest rate of 1.5% per month, in accordance with South Korean commercial law.</w:t>
      </w:r>
    </w:p>
    <w:p>
      <w:pPr>
        <w:pStyle w:val="BodyText"/>
      </w:pPr>
      <w:r>
        <w:t xml:space="preserve">3. The VAT rate of 10% is applied as mandated by the National Tax Service of South Korea. A separate VAT invoice (세금계산서) will be provided upon request for tax deduction purposes.</w:t>
      </w:r>
    </w:p>
    <w:p>
      <w:pPr>
        <w:pStyle w:val="BodyText"/>
      </w:pPr>
      <w:r>
        <w:t xml:space="preserve">4. All banking services described in this invoice were performed by a designated Banker assigned to your corporate account. Any disputes regarding service quality should be directed to the undersigned Banker within fifteen (15) business days.</w:t>
      </w:r>
    </w:p>
    <w:p>
      <w:pPr>
        <w:pStyle w:val="BodyText"/>
      </w:pPr>
      <w:r>
        <w:t xml:space="preserve">5. This invoice is valid for one hundred eighty (180) days from the issue date. After this period, the invoice must be reissued by the responsible Banker at the Seoul Premier Banking Group office in Gangnam-gu, Seoul.</w:t>
      </w:r>
    </w:p>
    <w:p>
      <w:pPr>
        <w:pStyle w:val="BodyText"/>
      </w:pPr>
      <w:r>
        <w:t xml:space="preserve">6. By accepting this invoice, the client acknowledges that all transactions are governed by the laws of the Republic of Korea and subject to the jurisdiction of the Seoul Central District Court.</w:t>
      </w:r>
    </w:p>
    <w:bookmarkEnd w:id="25"/>
    <w:p>
      <w:pPr>
        <w:pStyle w:val="BodyText"/>
      </w:pPr>
      <w:r>
        <w:t xml:space="preserve">Seoul Premier Banking Group | 42, Teheran-ro, Gangnam-gu, Seoul 06236, South Korea</w:t>
      </w:r>
    </w:p>
    <w:p>
      <w:pPr>
        <w:pStyle w:val="BodyText"/>
      </w:pPr>
      <w:r>
        <w:t xml:space="preserve">Registered with the Financial Supervisory Service, Republic of Korea | License No. BK-2019-00452</w:t>
      </w:r>
    </w:p>
    <w:p>
      <w:pPr>
        <w:pStyle w:val="BodyText"/>
      </w:pPr>
      <w:r>
        <w:t xml:space="preserve">This is a computer-generated Invoice and does not require a physical signature. For verification, contact the issuing Banker at +82-2-3456-7890.</w:t>
      </w:r>
    </w:p>
    <w:p>
      <w:pPr>
        <w:pStyle w:val="BodyText"/>
      </w:pPr>
      <w:r>
        <w:t xml:space="preserve">© 2025 Seoul Premier Banking Group. All rights reserved. Invoice SPB-2025-00487.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Banking Services - Seoul, South Korea</dc:title>
  <dc:creator/>
  <dc:language>en</dc:language>
  <cp:keywords/>
  <dcterms:created xsi:type="dcterms:W3CDTF">2026-10-10T09:19:56Z</dcterms:created>
  <dcterms:modified xsi:type="dcterms:W3CDTF">2026-10-10T09:19:56Z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