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invoice"/>
    <w:p>
      <w:pPr>
        <w:pStyle w:val="Heading1"/>
      </w:pPr>
      <w:r>
        <w:t xml:space="preserve">INVOICE</w:t>
      </w:r>
    </w:p>
    <w:p>
      <w:pPr>
        <w:pStyle w:val="FirstParagraph"/>
      </w:pPr>
      <w:r>
        <w:t xml:space="preserve">Professional Banking Services — Spain Valencia Region</w:t>
      </w:r>
    </w:p>
    <w:p>
      <w:pPr>
        <w:pStyle w:val="BodyText"/>
      </w:pPr>
      <w:r>
        <w:t xml:space="preserve">Official Invoice Document</w:t>
      </w:r>
    </w:p>
    <w:bookmarkEnd w:id="20"/>
    <w:bookmarkStart w:id="21" w:name="valencia-banker-group-s.l."/>
    <w:p>
      <w:pPr>
        <w:pStyle w:val="Heading3"/>
      </w:pPr>
      <w:r>
        <w:t xml:space="preserve">Valencia Banker Group S.L.</w:t>
      </w:r>
    </w:p>
    <w:p>
      <w:pPr>
        <w:pStyle w:val="FirstParagraph"/>
      </w:pPr>
      <w:r>
        <w:t xml:space="preserve">Calle Colón 42, 3º Planta</w:t>
      </w:r>
    </w:p>
    <w:p>
      <w:pPr>
        <w:pStyle w:val="BodyText"/>
      </w:pPr>
      <w:r>
        <w:t xml:space="preserve">46004 Valencia, Spain</w:t>
      </w:r>
    </w:p>
    <w:p>
      <w:pPr>
        <w:pStyle w:val="BodyText"/>
      </w:pPr>
      <w:r>
        <w:t xml:space="preserve">NIF: B-46882917</w:t>
      </w:r>
    </w:p>
    <w:p>
      <w:pPr>
        <w:pStyle w:val="BodyText"/>
      </w:pPr>
      <w:r>
        <w:t xml:space="preserve">Phone: +34 963 554 210</w:t>
      </w:r>
    </w:p>
    <w:p>
      <w:pPr>
        <w:pStyle w:val="BodyText"/>
      </w:pPr>
      <w:r>
        <w:t xml:space="preserve">Email: billing@valenciabanker.es</w:t>
      </w:r>
    </w:p>
    <w:bookmarkEnd w:id="21"/>
    <w:bookmarkStart w:id="22" w:name="invoice-details"/>
    <w:p>
      <w:pPr>
        <w:pStyle w:val="Heading4"/>
      </w:pPr>
      <w:r>
        <w:t xml:space="preserve">Invoice Details</w:t>
      </w:r>
    </w:p>
    <w:p>
      <w:pPr>
        <w:pStyle w:val="FirstParagraph"/>
      </w:pPr>
      <w:r>
        <w:t xml:space="preserve">Invoice Number:</w:t>
      </w:r>
      <w:r>
        <w:t xml:space="preserve"> </w:t>
      </w:r>
      <w:r>
        <w:t xml:space="preserve">VB-2025-00487</w:t>
      </w:r>
    </w:p>
    <w:p>
      <w:pPr>
        <w:pStyle w:val="BodyText"/>
      </w:pPr>
      <w:r>
        <w:t xml:space="preserve">Invoice Date:</w:t>
      </w:r>
      <w:r>
        <w:t xml:space="preserve"> </w:t>
      </w:r>
      <w:r>
        <w:t xml:space="preserve">14 June 2025</w:t>
      </w:r>
    </w:p>
    <w:p>
      <w:pPr>
        <w:pStyle w:val="BodyText"/>
      </w:pPr>
      <w:r>
        <w:t xml:space="preserve">Due Date:</w:t>
      </w:r>
      <w:r>
        <w:t xml:space="preserve"> </w:t>
      </w:r>
      <w:r>
        <w:t xml:space="preserve">14 July 2025</w:t>
      </w:r>
    </w:p>
    <w:p>
      <w:pPr>
        <w:pStyle w:val="BodyText"/>
      </w:pPr>
      <w:r>
        <w:t xml:space="preserve">Currency:</w:t>
      </w:r>
      <w:r>
        <w:t xml:space="preserve"> </w:t>
      </w:r>
      <w:r>
        <w:t xml:space="preserve">EUR (€)</w:t>
      </w:r>
    </w:p>
    <w:bookmarkEnd w:id="22"/>
    <w:bookmarkStart w:id="23" w:name="banker-service-provider"/>
    <w:p>
      <w:pPr>
        <w:pStyle w:val="Heading4"/>
      </w:pPr>
      <w:r>
        <w:t xml:space="preserve">Banker (Service Provider)</w:t>
      </w:r>
    </w:p>
    <w:p>
      <w:pPr>
        <w:pStyle w:val="FirstParagraph"/>
      </w:pPr>
      <w:r>
        <w:t xml:space="preserve">Name:</w:t>
      </w:r>
      <w:r>
        <w:t xml:space="preserve"> </w:t>
      </w:r>
      <w:r>
        <w:t xml:space="preserve">Ricardo Mendoza Ferrer</w:t>
      </w:r>
    </w:p>
    <w:p>
      <w:pPr>
        <w:pStyle w:val="BodyText"/>
      </w:pPr>
      <w:r>
        <w:t xml:space="preserve">Title:</w:t>
      </w:r>
      <w:r>
        <w:t xml:space="preserve"> </w:t>
      </w:r>
      <w:r>
        <w:t xml:space="preserve">Senior Banker &amp; Financial Advisor</w:t>
      </w:r>
    </w:p>
    <w:p>
      <w:pPr>
        <w:pStyle w:val="BodyText"/>
      </w:pPr>
      <w:r>
        <w:t xml:space="preserve">License:</w:t>
      </w:r>
      <w:r>
        <w:t xml:space="preserve"> </w:t>
      </w:r>
      <w:r>
        <w:t xml:space="preserve">CNMV Reg. #88214</w:t>
      </w:r>
    </w:p>
    <w:p>
      <w:pPr>
        <w:pStyle w:val="BodyText"/>
      </w:pPr>
      <w:r>
        <w:t xml:space="preserve">Location:</w:t>
      </w:r>
      <w:r>
        <w:t xml:space="preserve"> </w:t>
      </w:r>
      <w:r>
        <w:t xml:space="preserve">Spain Valencia</w:t>
      </w:r>
    </w:p>
    <w:bookmarkEnd w:id="23"/>
    <w:bookmarkStart w:id="24" w:name="bill-to-client"/>
    <w:p>
      <w:pPr>
        <w:pStyle w:val="Heading4"/>
      </w:pPr>
      <w:r>
        <w:t xml:space="preserve">Bill To (Client)</w:t>
      </w:r>
    </w:p>
    <w:p>
      <w:pPr>
        <w:pStyle w:val="FirstParagraph"/>
      </w:pPr>
      <w:r>
        <w:t xml:space="preserve">Company:</w:t>
      </w:r>
      <w:r>
        <w:t xml:space="preserve"> </w:t>
      </w:r>
      <w:r>
        <w:t xml:space="preserve">Mediterráneo Logistics S.A.</w:t>
      </w:r>
    </w:p>
    <w:p>
      <w:pPr>
        <w:pStyle w:val="BodyText"/>
      </w:pPr>
      <w:r>
        <w:t xml:space="preserve">Address:</w:t>
      </w:r>
      <w:r>
        <w:t xml:space="preserve"> </w:t>
      </w:r>
      <w:r>
        <w:t xml:space="preserve">Av. del Puerto 18, 46022</w:t>
      </w:r>
    </w:p>
    <w:p>
      <w:pPr>
        <w:pStyle w:val="BodyText"/>
      </w:pPr>
      <w:r>
        <w:t xml:space="preserve">City:</w:t>
      </w:r>
      <w:r>
        <w:t xml:space="preserve"> </w:t>
      </w:r>
      <w:r>
        <w:t xml:space="preserve">Valencia, Spain</w:t>
      </w:r>
    </w:p>
    <w:p>
      <w:pPr>
        <w:pStyle w:val="BodyText"/>
      </w:pPr>
      <w:r>
        <w:t xml:space="preserve">NIF:</w:t>
      </w:r>
      <w:r>
        <w:t xml:space="preserve"> </w:t>
      </w:r>
      <w:r>
        <w:t xml:space="preserve">A-46003312</w:t>
      </w:r>
    </w:p>
    <w:bookmarkEnd w:id="24"/>
    <w:bookmarkStart w:id="25" w:name="X948ee62fa23f97a63cf83be3fb9aab1714907d0"/>
    <w:p>
      <w:pPr>
        <w:pStyle w:val="Heading3"/>
      </w:pPr>
      <w:r>
        <w:t xml:space="preserve">Invoice Line Items — Banker Services Rendered</w:t>
      </w:r>
    </w:p>
    <w:p>
      <w:pPr>
        <w:pStyle w:val="FirstParagraph"/>
      </w:pPr>
      <w:r>
        <w:t xml:space="preserve">The following Invoice itemizes all professional services provided by the Banker during the billing period in Spain Valencia.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Hours</w:t>
            </w:r>
          </w:p>
        </w:tc>
        <w:tc>
          <w:tcPr/>
          <w:p>
            <w:pPr>
              <w:pStyle w:val="Compact"/>
              <w:jc w:val="left"/>
            </w:pPr>
            <w:r>
              <w:t xml:space="preserve">Rate (€)</w:t>
            </w:r>
          </w:p>
        </w:tc>
        <w:tc>
          <w:tcPr/>
          <w:p>
            <w:pPr>
              <w:pStyle w:val="Compact"/>
              <w:jc w:val="left"/>
            </w:pPr>
            <w:r>
              <w:t xml:space="preserve">Amount (€)</w:t>
            </w:r>
          </w:p>
        </w:tc>
      </w:tr>
      <w:tr>
        <w:tc>
          <w:tcPr/>
          <w:p>
            <w:pPr>
              <w:pStyle w:val="Compact"/>
              <w:jc w:val="left"/>
            </w:pPr>
            <w:r>
              <w:t xml:space="preserve">01</w:t>
            </w:r>
          </w:p>
        </w:tc>
        <w:tc>
          <w:tcPr/>
          <w:p>
            <w:pPr>
              <w:pStyle w:val="Compact"/>
              <w:jc w:val="left"/>
            </w:pPr>
            <w:r>
              <w:t xml:space="preserve">Corporate treasury management and cash-flow optimization advisory by the Banker</w:t>
            </w:r>
          </w:p>
        </w:tc>
        <w:tc>
          <w:tcPr/>
          <w:p>
            <w:pPr>
              <w:pStyle w:val="Compact"/>
              <w:jc w:val="left"/>
            </w:pPr>
            <w:r>
              <w:t xml:space="preserve">Jan–Jun 2025</w:t>
            </w:r>
          </w:p>
        </w:tc>
        <w:tc>
          <w:tcPr/>
          <w:p>
            <w:pPr>
              <w:pStyle w:val="Compact"/>
              <w:jc w:val="left"/>
            </w:pPr>
            <w:r>
              <w:t xml:space="preserve">32</w:t>
            </w:r>
          </w:p>
        </w:tc>
        <w:tc>
          <w:tcPr/>
          <w:p>
            <w:pPr>
              <w:pStyle w:val="Compact"/>
              <w:jc w:val="left"/>
            </w:pPr>
            <w:r>
              <w:t xml:space="preserve">95.00</w:t>
            </w:r>
          </w:p>
        </w:tc>
        <w:tc>
          <w:tcPr/>
          <w:p>
            <w:pPr>
              <w:pStyle w:val="Compact"/>
              <w:jc w:val="left"/>
            </w:pPr>
            <w:r>
              <w:t xml:space="preserve">3,040.00</w:t>
            </w:r>
          </w:p>
        </w:tc>
      </w:tr>
      <w:tr>
        <w:tc>
          <w:tcPr/>
          <w:p>
            <w:pPr>
              <w:pStyle w:val="Compact"/>
              <w:jc w:val="left"/>
            </w:pPr>
            <w:r>
              <w:t xml:space="preserve">02</w:t>
            </w:r>
          </w:p>
        </w:tc>
        <w:tc>
          <w:tcPr/>
          <w:p>
            <w:pPr>
              <w:pStyle w:val="Compact"/>
              <w:jc w:val="left"/>
            </w:pPr>
            <w:r>
              <w:t xml:space="preserve">Trade finance structuring for international shipments through Spain Valencia port</w:t>
            </w:r>
          </w:p>
        </w:tc>
        <w:tc>
          <w:tcPr/>
          <w:p>
            <w:pPr>
              <w:pStyle w:val="Compact"/>
              <w:jc w:val="left"/>
            </w:pPr>
            <w:r>
              <w:t xml:space="preserve">Feb–May 2025</w:t>
            </w:r>
          </w:p>
        </w:tc>
        <w:tc>
          <w:tcPr/>
          <w:p>
            <w:pPr>
              <w:pStyle w:val="Compact"/>
              <w:jc w:val="left"/>
            </w:pPr>
            <w:r>
              <w:t xml:space="preserve">18</w:t>
            </w:r>
          </w:p>
        </w:tc>
        <w:tc>
          <w:tcPr/>
          <w:p>
            <w:pPr>
              <w:pStyle w:val="Compact"/>
              <w:jc w:val="left"/>
            </w:pPr>
            <w:r>
              <w:t xml:space="preserve">110.00</w:t>
            </w:r>
          </w:p>
        </w:tc>
        <w:tc>
          <w:tcPr/>
          <w:p>
            <w:pPr>
              <w:pStyle w:val="Compact"/>
              <w:jc w:val="left"/>
            </w:pPr>
            <w:r>
              <w:t xml:space="preserve">1,980.00</w:t>
            </w:r>
          </w:p>
        </w:tc>
      </w:tr>
      <w:tr>
        <w:tc>
          <w:tcPr/>
          <w:p>
            <w:pPr>
              <w:pStyle w:val="Compact"/>
              <w:jc w:val="left"/>
            </w:pPr>
            <w:r>
              <w:t xml:space="preserve">03</w:t>
            </w:r>
          </w:p>
        </w:tc>
        <w:tc>
          <w:tcPr/>
          <w:p>
            <w:pPr>
              <w:pStyle w:val="Compact"/>
              <w:jc w:val="left"/>
            </w:pPr>
            <w:r>
              <w:t xml:space="preserve">Regulatory compliance review under Spanish banking law (Ley 10/2014)</w:t>
            </w:r>
          </w:p>
        </w:tc>
        <w:tc>
          <w:tcPr/>
          <w:p>
            <w:pPr>
              <w:pStyle w:val="Compact"/>
              <w:jc w:val="left"/>
            </w:pPr>
            <w:r>
              <w:t xml:space="preserve">Mar 2025</w:t>
            </w:r>
          </w:p>
        </w:tc>
        <w:tc>
          <w:tcPr/>
          <w:p>
            <w:pPr>
              <w:pStyle w:val="Compact"/>
              <w:jc w:val="left"/>
            </w:pPr>
            <w:r>
              <w:t xml:space="preserve">12</w:t>
            </w:r>
          </w:p>
        </w:tc>
        <w:tc>
          <w:tcPr/>
          <w:p>
            <w:pPr>
              <w:pStyle w:val="Compact"/>
              <w:jc w:val="left"/>
            </w:pPr>
            <w:r>
              <w:t xml:space="preserve">105.00</w:t>
            </w:r>
          </w:p>
        </w:tc>
        <w:tc>
          <w:tcPr/>
          <w:p>
            <w:pPr>
              <w:pStyle w:val="Compact"/>
              <w:jc w:val="left"/>
            </w:pPr>
            <w:r>
              <w:t xml:space="preserve">1,260.00</w:t>
            </w:r>
          </w:p>
        </w:tc>
      </w:tr>
      <w:tr>
        <w:tc>
          <w:tcPr/>
          <w:p>
            <w:pPr>
              <w:pStyle w:val="Compact"/>
              <w:jc w:val="left"/>
            </w:pPr>
            <w:r>
              <w:t xml:space="preserve">04</w:t>
            </w:r>
          </w:p>
        </w:tc>
        <w:tc>
          <w:tcPr/>
          <w:p>
            <w:pPr>
              <w:pStyle w:val="Compact"/>
              <w:jc w:val="left"/>
            </w:pPr>
            <w:r>
              <w:t xml:space="preserve">Foreign exchange hedging strategy consultation by the Banker</w:t>
            </w:r>
          </w:p>
        </w:tc>
        <w:tc>
          <w:tcPr/>
          <w:p>
            <w:pPr>
              <w:pStyle w:val="Compact"/>
              <w:jc w:val="left"/>
            </w:pPr>
            <w:r>
              <w:t xml:space="preserve">Apr–Jun 2025</w:t>
            </w:r>
          </w:p>
        </w:tc>
        <w:tc>
          <w:tcPr/>
          <w:p>
            <w:pPr>
              <w:pStyle w:val="Compact"/>
              <w:jc w:val="left"/>
            </w:pPr>
            <w:r>
              <w:t xml:space="preserve">10</w:t>
            </w:r>
          </w:p>
        </w:tc>
        <w:tc>
          <w:tcPr/>
          <w:p>
            <w:pPr>
              <w:pStyle w:val="Compact"/>
              <w:jc w:val="left"/>
            </w:pPr>
            <w:r>
              <w:t xml:space="preserve">120.00</w:t>
            </w:r>
          </w:p>
        </w:tc>
        <w:tc>
          <w:tcPr/>
          <w:p>
            <w:pPr>
              <w:pStyle w:val="Compact"/>
              <w:jc w:val="left"/>
            </w:pPr>
            <w:r>
              <w:t xml:space="preserve">1,200.00</w:t>
            </w:r>
          </w:p>
        </w:tc>
      </w:tr>
      <w:tr>
        <w:tc>
          <w:tcPr/>
          <w:p>
            <w:pPr>
              <w:pStyle w:val="Compact"/>
              <w:jc w:val="left"/>
            </w:pPr>
            <w:r>
              <w:t xml:space="preserve">05</w:t>
            </w:r>
          </w:p>
        </w:tc>
        <w:tc>
          <w:tcPr/>
          <w:p>
            <w:pPr>
              <w:pStyle w:val="Compact"/>
              <w:jc w:val="left"/>
            </w:pPr>
            <w:r>
              <w:t xml:space="preserve">On-site financial audit at client premises in Spain Valencia</w:t>
            </w:r>
          </w:p>
        </w:tc>
        <w:tc>
          <w:tcPr/>
          <w:p>
            <w:pPr>
              <w:pStyle w:val="Compact"/>
              <w:jc w:val="left"/>
            </w:pPr>
            <w:r>
              <w:t xml:space="preserve">May 2025</w:t>
            </w:r>
          </w:p>
        </w:tc>
        <w:tc>
          <w:tcPr/>
          <w:p>
            <w:pPr>
              <w:pStyle w:val="Compact"/>
              <w:jc w:val="left"/>
            </w:pPr>
            <w:r>
              <w:t xml:space="preserve">8</w:t>
            </w:r>
          </w:p>
        </w:tc>
        <w:tc>
          <w:tcPr/>
          <w:p>
            <w:pPr>
              <w:pStyle w:val="Compact"/>
              <w:jc w:val="left"/>
            </w:pPr>
            <w:r>
              <w:t xml:space="preserve">130.00</w:t>
            </w:r>
          </w:p>
        </w:tc>
        <w:tc>
          <w:tcPr/>
          <w:p>
            <w:pPr>
              <w:pStyle w:val="Compact"/>
              <w:jc w:val="left"/>
            </w:pPr>
            <w:r>
              <w:t xml:space="preserve">1,040.00</w:t>
            </w:r>
          </w:p>
        </w:tc>
      </w:tr>
      <w:tr>
        <w:tc>
          <w:tcPr/>
          <w:p>
            <w:pPr>
              <w:pStyle w:val="Compact"/>
              <w:jc w:val="left"/>
            </w:pPr>
            <w:r>
              <w:t xml:space="preserve">06</w:t>
            </w:r>
          </w:p>
        </w:tc>
        <w:tc>
          <w:tcPr/>
          <w:p>
            <w:pPr>
              <w:pStyle w:val="Compact"/>
              <w:jc w:val="left"/>
            </w:pPr>
            <w:r>
              <w:t xml:space="preserve">Quarterly investment portfolio rebalancing and risk assessment</w:t>
            </w:r>
          </w:p>
        </w:tc>
        <w:tc>
          <w:tcPr/>
          <w:p>
            <w:pPr>
              <w:pStyle w:val="Compact"/>
              <w:jc w:val="left"/>
            </w:pPr>
            <w:r>
              <w:t xml:space="preserve">Q2 2025</w:t>
            </w:r>
          </w:p>
        </w:tc>
        <w:tc>
          <w:tcPr/>
          <w:p>
            <w:pPr>
              <w:pStyle w:val="Compact"/>
              <w:jc w:val="left"/>
            </w:pPr>
            <w:r>
              <w:t xml:space="preserve">6</w:t>
            </w:r>
          </w:p>
        </w:tc>
        <w:tc>
          <w:tcPr/>
          <w:p>
            <w:pPr>
              <w:pStyle w:val="Compact"/>
              <w:jc w:val="left"/>
            </w:pPr>
            <w:r>
              <w:t xml:space="preserve">115.00</w:t>
            </w:r>
          </w:p>
        </w:tc>
        <w:tc>
          <w:tcPr/>
          <w:p>
            <w:pPr>
              <w:pStyle w:val="Compact"/>
              <w:jc w:val="left"/>
            </w:pPr>
            <w:r>
              <w:t xml:space="preserve">690.00</w:t>
            </w:r>
          </w:p>
        </w:tc>
      </w:tr>
      <w:tr>
        <w:tc>
          <w:tcPr/>
          <w:p>
            <w:pPr>
              <w:pStyle w:val="Compact"/>
              <w:jc w:val="left"/>
            </w:pPr>
            <w:r>
              <w:t xml:space="preserve">07</w:t>
            </w:r>
          </w:p>
        </w:tc>
        <w:tc>
          <w:tcPr/>
          <w:p>
            <w:pPr>
              <w:pStyle w:val="Compact"/>
              <w:jc w:val="left"/>
            </w:pPr>
            <w:r>
              <w:t xml:space="preserve">Banker-to-banker coordination for multi-currency account restructuring</w:t>
            </w:r>
          </w:p>
        </w:tc>
        <w:tc>
          <w:tcPr/>
          <w:p>
            <w:pPr>
              <w:pStyle w:val="Compact"/>
              <w:jc w:val="left"/>
            </w:pPr>
            <w:r>
              <w:t xml:space="preserve">Jun 2025</w:t>
            </w:r>
          </w:p>
        </w:tc>
        <w:tc>
          <w:tcPr/>
          <w:p>
            <w:pPr>
              <w:pStyle w:val="Compact"/>
              <w:jc w:val="left"/>
            </w:pPr>
            <w:r>
              <w:t xml:space="preserve">5</w:t>
            </w:r>
          </w:p>
        </w:tc>
        <w:tc>
          <w:tcPr/>
          <w:p>
            <w:pPr>
              <w:pStyle w:val="Compact"/>
              <w:jc w:val="left"/>
            </w:pPr>
            <w:r>
              <w:t xml:space="preserve">100.00</w:t>
            </w:r>
          </w:p>
        </w:tc>
        <w:tc>
          <w:tcPr/>
          <w:p>
            <w:pPr>
              <w:pStyle w:val="Compact"/>
              <w:jc w:val="left"/>
            </w:pPr>
            <w:r>
              <w:t xml:space="preserve">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€ 9,710.00</w:t>
            </w:r>
          </w:p>
        </w:tc>
      </w:tr>
      <w:tr>
        <w:tc>
          <w:tcPr/>
          <w:p>
            <w:pPr>
              <w:pStyle w:val="Compact"/>
              <w:jc w:val="left"/>
            </w:pPr>
            <w:r>
              <w:t xml:space="preserve">VAT (IVA) — 21% (Spain)</w:t>
            </w:r>
          </w:p>
        </w:tc>
        <w:tc>
          <w:tcPr/>
          <w:p>
            <w:pPr>
              <w:pStyle w:val="Compact"/>
              <w:jc w:val="left"/>
            </w:pPr>
            <w:r>
              <w:t xml:space="preserve">€ 2,039.10</w:t>
            </w:r>
          </w:p>
        </w:tc>
      </w:tr>
      <w:tr>
        <w:tc>
          <w:tcPr/>
          <w:p>
            <w:pPr>
              <w:pStyle w:val="Compact"/>
              <w:jc w:val="left"/>
            </w:pPr>
            <w:r>
              <w:t xml:space="preserve">Local Municipal Surcharge (Spain Valencia)</w:t>
            </w:r>
          </w:p>
        </w:tc>
        <w:tc>
          <w:tcPr/>
          <w:p>
            <w:pPr>
              <w:pStyle w:val="Compact"/>
              <w:jc w:val="left"/>
            </w:pPr>
            <w:r>
              <w:t xml:space="preserve">€ 48.55</w:t>
            </w:r>
          </w:p>
        </w:tc>
      </w:tr>
      <w:tr>
        <w:tc>
          <w:tcPr/>
          <w:p>
            <w:pPr>
              <w:pStyle w:val="Compact"/>
              <w:jc w:val="left"/>
            </w:pPr>
            <w:r>
              <w:t xml:space="preserve">Grand Total Due</w:t>
            </w:r>
          </w:p>
        </w:tc>
        <w:tc>
          <w:tcPr/>
          <w:p>
            <w:pPr>
              <w:pStyle w:val="Compact"/>
              <w:jc w:val="left"/>
            </w:pPr>
            <w:r>
              <w:t xml:space="preserve">€ 11,797.65</w:t>
            </w:r>
          </w:p>
        </w:tc>
      </w:tr>
    </w:tbl>
    <w:bookmarkEnd w:id="25"/>
    <w:bookmarkStart w:id="26" w:name="X38568338ec6630c2ab8278aaf495a4ec9ff403e"/>
    <w:p>
      <w:pPr>
        <w:pStyle w:val="Heading3"/>
      </w:pPr>
      <w:r>
        <w:t xml:space="preserve">Invoice Terms, Conditions &amp; Regulatory Notes</w:t>
      </w:r>
    </w:p>
    <w:p>
      <w:pPr>
        <w:pStyle w:val="FirstParagraph"/>
      </w:pPr>
      <w:r>
        <w:t xml:space="preserve">This Invoice is issued in accordance with the Spanish Tax Agency (Agencia Tributaria) regulations and the Commercial Code of Spain. The Banker identified herein is fully licensed and registered to provide financial advisory and banking services within the autonomous community of Spain Valencia. All services rendered under this Invoice comply with the directives of the European Central Bank and the Bank of Spain.</w:t>
      </w:r>
    </w:p>
    <w:p>
      <w:pPr>
        <w:numPr>
          <w:ilvl w:val="0"/>
          <w:numId w:val="1001"/>
        </w:numPr>
        <w:pStyle w:val="Compact"/>
      </w:pPr>
      <w:r>
        <w:rPr>
          <w:bCs/>
          <w:b/>
        </w:rPr>
        <w:t xml:space="preserve">Payment Terms:</w:t>
      </w:r>
      <w:r>
        <w:t xml:space="preserve"> </w:t>
      </w:r>
      <w:r>
        <w:t xml:space="preserve">Full payment of this Invoice is due within thirty (30) calendar days from the Invoice date. Payment shall be made via SEPA bank transfer to the account designated by the Banker at Valencia Banker Group S.L.</w:t>
      </w:r>
    </w:p>
    <w:p>
      <w:pPr>
        <w:numPr>
          <w:ilvl w:val="0"/>
          <w:numId w:val="1001"/>
        </w:numPr>
        <w:pStyle w:val="Compact"/>
      </w:pPr>
      <w:r>
        <w:rPr>
          <w:bCs/>
          <w:b/>
        </w:rPr>
        <w:t xml:space="preserve">Late Payment:</w:t>
      </w:r>
      <w:r>
        <w:t xml:space="preserve"> </w:t>
      </w:r>
      <w:r>
        <w:t xml:space="preserve">In accordance with Spanish Royal Decree-Law 4/2013, a late payment interest rate of 8.5% per annum shall apply to any outstanding balance beyond the due date stated on this Invoice.</w:t>
      </w:r>
    </w:p>
    <w:p>
      <w:pPr>
        <w:numPr>
          <w:ilvl w:val="0"/>
          <w:numId w:val="1001"/>
        </w:numPr>
        <w:pStyle w:val="Compact"/>
      </w:pPr>
      <w:r>
        <w:rPr>
          <w:bCs/>
          <w:b/>
        </w:rPr>
        <w:t xml:space="preserve">Dispute Resolution:</w:t>
      </w:r>
      <w:r>
        <w:t xml:space="preserve"> </w:t>
      </w:r>
      <w:r>
        <w:t xml:space="preserve">Any dispute arising from this Invoice shall be resolved through the competent courts of Valencia, Spain. The Banker and the client agree to attempt mediation before initiating formal legal proceedings.</w:t>
      </w:r>
    </w:p>
    <w:p>
      <w:pPr>
        <w:numPr>
          <w:ilvl w:val="0"/>
          <w:numId w:val="1001"/>
        </w:numPr>
        <w:pStyle w:val="Compact"/>
      </w:pPr>
      <w:r>
        <w:rPr>
          <w:bCs/>
          <w:b/>
        </w:rPr>
        <w:t xml:space="preserve">Confidentiality:</w:t>
      </w:r>
      <w:r>
        <w:t xml:space="preserve"> </w:t>
      </w:r>
      <w:r>
        <w:t xml:space="preserve">The Banker shall maintain strict confidentiality regarding all financial data, account structures, and transaction details disclosed during the engagement period covered by this Invoice.</w:t>
      </w:r>
    </w:p>
    <w:p>
      <w:pPr>
        <w:numPr>
          <w:ilvl w:val="0"/>
          <w:numId w:val="1001"/>
        </w:numPr>
        <w:pStyle w:val="Compact"/>
      </w:pPr>
      <w:r>
        <w:rPr>
          <w:bCs/>
          <w:b/>
        </w:rPr>
        <w:t xml:space="preserve">Regulatory Compliance:</w:t>
      </w:r>
      <w:r>
        <w:t xml:space="preserve"> </w:t>
      </w:r>
      <w:r>
        <w:t xml:space="preserve">This Invoice and all associated services are subject to anti-money laundering (AML) obligations under Spanish Law 10/2010 and EU Directive 2018/843. The Banker reserves the right to report suspicious transactions to the Spanish Financial Intelligence Unit (UIF).</w:t>
      </w:r>
    </w:p>
    <w:p>
      <w:pPr>
        <w:numPr>
          <w:ilvl w:val="0"/>
          <w:numId w:val="1001"/>
        </w:numPr>
        <w:pStyle w:val="Compact"/>
      </w:pPr>
      <w:r>
        <w:rPr>
          <w:bCs/>
          <w:b/>
        </w:rPr>
        <w:t xml:space="preserve">Invoice Validity:</w:t>
      </w:r>
      <w:r>
        <w:t xml:space="preserve"> </w:t>
      </w:r>
      <w:r>
        <w:t xml:space="preserve">This Invoice remains valid for one hundred and eighty (180) days from the date of issue. After this period, the Banker reserves the right to reissue the Invoice with updated tax calculations if applicable rates in Spain Valencia have changed.</w:t>
      </w:r>
    </w:p>
    <w:p>
      <w:pPr>
        <w:numPr>
          <w:ilvl w:val="0"/>
          <w:numId w:val="1001"/>
        </w:numPr>
        <w:pStyle w:val="Compact"/>
      </w:pPr>
      <w:r>
        <w:rPr>
          <w:bCs/>
          <w:b/>
        </w:rPr>
        <w:t xml:space="preserve">Scope of Services:</w:t>
      </w:r>
      <w:r>
        <w:t xml:space="preserve"> </w:t>
      </w:r>
      <w:r>
        <w:t xml:space="preserve">The services listed in this Invoice are limited to those explicitly described in the line items above. Any additional advisory, restructuring, or compliance work requested by the client will be subject to a separate Invoice issued by the Banker.</w:t>
      </w:r>
    </w:p>
    <w:p>
      <w:pPr>
        <w:pStyle w:val="FirstParagraph"/>
      </w:pPr>
      <w:r>
        <w:t xml:space="preserve">The Banker confirms that all professional services described in this Invoice were performed with due diligence, in full compliance with the ethical standards set forth by the Spanish Banking Association (AEB) and the regulatory framework governing financial professionals in Spain Valencia. The client acknowledges receipt of this Invoice and agrees to the terms stated herein by the act of accepting the services rendered.</w:t>
      </w:r>
    </w:p>
    <w:bookmarkEnd w:id="26"/>
    <w:p>
      <w:pPr>
        <w:pStyle w:val="BodyText"/>
      </w:pPr>
      <w:r>
        <w:rPr>
          <w:bCs/>
          <w:b/>
        </w:rPr>
        <w:t xml:space="preserve">Valencia Banker Group S.L.</w:t>
      </w:r>
      <w:r>
        <w:t xml:space="preserve"> </w:t>
      </w:r>
      <w:r>
        <w:t xml:space="preserve">— Registered in the Commercial Registry of Valencia, Volume 4,821, Folio 112, Sheet V-48214</w:t>
      </w:r>
    </w:p>
    <w:p>
      <w:pPr>
        <w:pStyle w:val="BodyText"/>
      </w:pPr>
      <w:r>
        <w:t xml:space="preserve">This Invoice was generated electronically and is valid without a physical signature under Spanish Law 6/2020 on Digital Transformation. Document ID: VB-2025-00487-ES-VA</w:t>
      </w:r>
    </w:p>
    <w:p>
      <w:pPr>
        <w:pStyle w:val="BodyText"/>
      </w:pPr>
      <w:r>
        <w:t xml:space="preserve">For questions regarding this Invoice, please contact the Banker at billing@valenciabanker.es or +34 963 554 210, Monday to Friday, 09:00–18:00 CET, Spain Valencia.</w:t>
      </w:r>
    </w:p>
    <w:p>
      <w:pPr>
        <w:pStyle w:val="BodyText"/>
      </w:pPr>
      <w:r>
        <w:t xml:space="preserve">© 2025 Valencia Banker Group S.L. All rights reserved. This Invoice is the property of the issuing Banker and may not be reproduced without written consent.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Banker Services - Spain Valencia</dc:title>
  <dc:creator/>
  <dc:language>en</dc:language>
  <cp:keywords/>
  <dcterms:created xsi:type="dcterms:W3CDTF">2026-10-10T07:25:53Z</dcterms:created>
  <dcterms:modified xsi:type="dcterms:W3CDTF">2026-10-10T07:25:53Z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