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Banking</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invoice"/>
    <w:p>
      <w:pPr>
        <w:pStyle w:val="Heading1"/>
      </w:pPr>
      <w:r>
        <w:t xml:space="preserve">INVOICE</w:t>
      </w:r>
    </w:p>
    <w:p>
      <w:pPr>
        <w:pStyle w:val="FirstParagraph"/>
      </w:pPr>
      <w:r>
        <w:t xml:space="preserve">Professional Banking &amp; Financial Advisory Services</w:t>
      </w:r>
    </w:p>
    <w:p>
      <w:pPr>
        <w:pStyle w:val="BodyText"/>
      </w:pPr>
      <w:r>
        <w:t xml:space="preserve">Republic of Sudan — Khartoum</w:t>
      </w:r>
    </w:p>
    <w:p>
      <w:pPr>
        <w:pStyle w:val="BodyText"/>
      </w:pPr>
      <w:r>
        <w:t xml:space="preserve">OFFICIAL INVOICE — SUDAN KHARTOUM</w:t>
      </w:r>
    </w:p>
    <w:bookmarkEnd w:id="20"/>
    <w:bookmarkStart w:id="21" w:name="issued-by-the-banker"/>
    <w:p>
      <w:pPr>
        <w:pStyle w:val="Heading3"/>
      </w:pPr>
      <w:r>
        <w:t xml:space="preserve">Issued By (The Banker)</w:t>
      </w:r>
    </w:p>
    <w:p>
      <w:pPr>
        <w:pStyle w:val="FirstParagraph"/>
      </w:pPr>
      <w:r>
        <w:rPr>
          <w:bCs/>
          <w:b/>
        </w:rPr>
        <w:t xml:space="preserve">Banker Name:</w:t>
      </w:r>
      <w:r>
        <w:t xml:space="preserve"> </w:t>
      </w:r>
      <w:r>
        <w:t xml:space="preserve">Al-Hassan Financial Advisory &amp; Banking Services</w:t>
      </w:r>
    </w:p>
    <w:p>
      <w:pPr>
        <w:pStyle w:val="BodyText"/>
      </w:pPr>
      <w:r>
        <w:rPr>
          <w:bCs/>
          <w:b/>
        </w:rPr>
        <w:t xml:space="preserve">Lead Banker:</w:t>
      </w:r>
      <w:r>
        <w:t xml:space="preserve"> </w:t>
      </w:r>
      <w:r>
        <w:t xml:space="preserve">Mr. Ibrahim Al-Hassan, Certified Banker</w:t>
      </w:r>
    </w:p>
    <w:p>
      <w:pPr>
        <w:pStyle w:val="BodyText"/>
      </w:pPr>
      <w:r>
        <w:rPr>
          <w:bCs/>
          <w:b/>
        </w:rPr>
        <w:t xml:space="preserve">Address:</w:t>
      </w:r>
      <w:r>
        <w:t xml:space="preserve"> </w:t>
      </w:r>
      <w:r>
        <w:t xml:space="preserve">42 Al-Murad Street, Omdurman District, Khartoum, Sudan</w:t>
      </w:r>
    </w:p>
    <w:p>
      <w:pPr>
        <w:pStyle w:val="BodyText"/>
      </w:pPr>
      <w:r>
        <w:rPr>
          <w:bCs/>
          <w:b/>
        </w:rPr>
        <w:t xml:space="preserve">Phone:</w:t>
      </w:r>
      <w:r>
        <w:t xml:space="preserve"> </w:t>
      </w:r>
      <w:r>
        <w:t xml:space="preserve">+249-183-555-0142</w:t>
      </w:r>
    </w:p>
    <w:p>
      <w:pPr>
        <w:pStyle w:val="BodyText"/>
      </w:pPr>
      <w:r>
        <w:rPr>
          <w:bCs/>
          <w:b/>
        </w:rPr>
        <w:t xml:space="preserve">Email:</w:t>
      </w:r>
      <w:r>
        <w:t xml:space="preserve"> </w:t>
      </w:r>
      <w:r>
        <w:t xml:space="preserve">invoices@alhassanbanker.sd</w:t>
      </w:r>
    </w:p>
    <w:p>
      <w:pPr>
        <w:pStyle w:val="BodyText"/>
      </w:pPr>
      <w:r>
        <w:rPr>
          <w:bCs/>
          <w:b/>
        </w:rPr>
        <w:t xml:space="preserve">Banker License No.:</w:t>
      </w:r>
      <w:r>
        <w:t xml:space="preserve"> </w:t>
      </w:r>
      <w:r>
        <w:t xml:space="preserve">SDB-2024-00871 (Sudan Central Bank)</w:t>
      </w:r>
    </w:p>
    <w:p>
      <w:pPr>
        <w:pStyle w:val="BodyText"/>
      </w:pPr>
      <w:r>
        <w:rPr>
          <w:bCs/>
          <w:b/>
        </w:rPr>
        <w:t xml:space="preserve">Commercial Registration:</w:t>
      </w:r>
      <w:r>
        <w:t xml:space="preserve"> </w:t>
      </w:r>
      <w:r>
        <w:t xml:space="preserve">KH-2019-44521</w:t>
      </w:r>
    </w:p>
    <w:bookmarkEnd w:id="21"/>
    <w:bookmarkStart w:id="22" w:name="invoice-details"/>
    <w:p>
      <w:pPr>
        <w:pStyle w:val="Heading3"/>
      </w:pPr>
      <w:r>
        <w:t xml:space="preserve">Invoice Details</w:t>
      </w:r>
    </w:p>
    <w:p>
      <w:pPr>
        <w:pStyle w:val="FirstParagraph"/>
      </w:pPr>
      <w:r>
        <w:rPr>
          <w:bCs/>
          <w:b/>
        </w:rPr>
        <w:t xml:space="preserve">Invoice Number:</w:t>
      </w:r>
      <w:r>
        <w:t xml:space="preserve"> </w:t>
      </w:r>
      <w:r>
        <w:t xml:space="preserve">INV-KH-2025-0347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Currency:</w:t>
      </w:r>
      <w:r>
        <w:t xml:space="preserve"> </w:t>
      </w:r>
      <w:r>
        <w:t xml:space="preserve">Sudanese Pound (SDG)</w:t>
      </w:r>
    </w:p>
    <w:p>
      <w:pPr>
        <w:pStyle w:val="BodyText"/>
      </w:pPr>
      <w:r>
        <w:rPr>
          <w:bCs/>
          <w:b/>
        </w:rPr>
        <w:t xml:space="preserve">Payment Terms:</w:t>
      </w:r>
      <w:r>
        <w:t xml:space="preserve"> </w:t>
      </w:r>
      <w:r>
        <w:t xml:space="preserve">Net 15 Days</w:t>
      </w:r>
    </w:p>
    <w:p>
      <w:pPr>
        <w:pStyle w:val="BodyText"/>
      </w:pPr>
      <w:r>
        <w:rPr>
          <w:bCs/>
          <w:b/>
        </w:rPr>
        <w:t xml:space="preserve">Service Period:</w:t>
      </w:r>
      <w:r>
        <w:t xml:space="preserve"> </w:t>
      </w:r>
      <w:r>
        <w:t xml:space="preserve">1 May 2025 – 31 May 2025</w:t>
      </w:r>
    </w:p>
    <w:bookmarkEnd w:id="22"/>
    <w:bookmarkStart w:id="23" w:name="billed-to-client"/>
    <w:p>
      <w:pPr>
        <w:pStyle w:val="Heading3"/>
      </w:pPr>
      <w:r>
        <w:t xml:space="preserve">Billed To (Client)</w:t>
      </w:r>
    </w:p>
    <w:p>
      <w:pPr>
        <w:pStyle w:val="FirstParagraph"/>
      </w:pPr>
      <w:r>
        <w:rPr>
          <w:bCs/>
          <w:b/>
        </w:rPr>
        <w:t xml:space="preserve">Client Name:</w:t>
      </w:r>
      <w:r>
        <w:t xml:space="preserve"> </w:t>
      </w:r>
      <w:r>
        <w:t xml:space="preserve">Nile Valley Trading &amp; Export Company Ltd.</w:t>
      </w:r>
    </w:p>
    <w:p>
      <w:pPr>
        <w:pStyle w:val="BodyText"/>
      </w:pPr>
      <w:r>
        <w:rPr>
          <w:bCs/>
          <w:b/>
        </w:rPr>
        <w:t xml:space="preserve">Client Address:</w:t>
      </w:r>
      <w:r>
        <w:t xml:space="preserve"> </w:t>
      </w:r>
      <w:r>
        <w:t xml:space="preserve">18 Al-Rashid Street, Shambat, Khartoum, Sudan</w:t>
      </w:r>
    </w:p>
    <w:p>
      <w:pPr>
        <w:pStyle w:val="BodyText"/>
      </w:pPr>
      <w:r>
        <w:rPr>
          <w:bCs/>
          <w:b/>
        </w:rPr>
        <w:t xml:space="preserve">Client Contact:</w:t>
      </w:r>
      <w:r>
        <w:t xml:space="preserve"> </w:t>
      </w:r>
      <w:r>
        <w:t xml:space="preserve">Ms. Fatima El-Tahir, Chief Financial Officer</w:t>
      </w:r>
    </w:p>
    <w:p>
      <w:pPr>
        <w:pStyle w:val="BodyText"/>
      </w:pPr>
      <w:r>
        <w:rPr>
          <w:bCs/>
          <w:b/>
        </w:rPr>
        <w:t xml:space="preserve">Client Phone:</w:t>
      </w:r>
      <w:r>
        <w:t xml:space="preserve"> </w:t>
      </w:r>
      <w:r>
        <w:t xml:space="preserve">+249-911-220-8834</w:t>
      </w:r>
    </w:p>
    <w:p>
      <w:pPr>
        <w:pStyle w:val="BodyText"/>
      </w:pPr>
      <w:r>
        <w:rPr>
          <w:bCs/>
          <w:b/>
        </w:rPr>
        <w:t xml:space="preserve">Client Tax ID:</w:t>
      </w:r>
      <w:r>
        <w:t xml:space="preserve"> </w:t>
      </w:r>
      <w:r>
        <w:t xml:space="preserve">VAT-KH-2023-77812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Category</w:t>
            </w:r>
          </w:p>
        </w:tc>
        <w:tc>
          <w:tcPr/>
          <w:p>
            <w:pPr>
              <w:pStyle w:val="Compact"/>
              <w:jc w:val="left"/>
            </w:pPr>
            <w:r>
              <w:t xml:space="preserve">Quantity</w:t>
            </w:r>
          </w:p>
        </w:tc>
        <w:tc>
          <w:tcPr/>
          <w:p>
            <w:pPr>
              <w:pStyle w:val="Compact"/>
              <w:jc w:val="left"/>
            </w:pPr>
            <w:r>
              <w:t xml:space="preserve">Unit Rate (SDG)</w:t>
            </w:r>
          </w:p>
        </w:tc>
        <w:tc>
          <w:tcPr/>
          <w:p>
            <w:pPr>
              <w:pStyle w:val="Compact"/>
              <w:jc w:val="left"/>
            </w:pPr>
            <w:r>
              <w:t xml:space="preserve">Amount (SDG)</w:t>
            </w:r>
          </w:p>
        </w:tc>
      </w:tr>
      <w:tr>
        <w:tc>
          <w:tcPr/>
          <w:p>
            <w:pPr>
              <w:pStyle w:val="Compact"/>
              <w:jc w:val="left"/>
            </w:pPr>
            <w:r>
              <w:t xml:space="preserve">1</w:t>
            </w:r>
          </w:p>
        </w:tc>
        <w:tc>
          <w:tcPr/>
          <w:p>
            <w:pPr>
              <w:pStyle w:val="Compact"/>
              <w:jc w:val="left"/>
            </w:pPr>
            <w:r>
              <w:t xml:space="preserve">Monthly corporate banking account management and transaction processing for the client's primary operating account held at a licensed bank in Khartoum, Sudan.</w:t>
            </w:r>
          </w:p>
        </w:tc>
        <w:tc>
          <w:tcPr/>
          <w:p>
            <w:pPr>
              <w:pStyle w:val="Compact"/>
              <w:jc w:val="left"/>
            </w:pPr>
            <w:r>
              <w:t xml:space="preserve">Account Management</w:t>
            </w:r>
          </w:p>
        </w:tc>
        <w:tc>
          <w:tcPr/>
          <w:p>
            <w:pPr>
              <w:pStyle w:val="Compact"/>
              <w:jc w:val="left"/>
            </w:pPr>
            <w:r>
              <w:t xml:space="preserve">1 month</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2</w:t>
            </w:r>
          </w:p>
        </w:tc>
        <w:tc>
          <w:tcPr/>
          <w:p>
            <w:pPr>
              <w:pStyle w:val="Compact"/>
              <w:jc w:val="left"/>
            </w:pPr>
            <w:r>
              <w:t xml:space="preserve">Foreign exchange advisory and currency conversion facilitation services, including USD/SDG and EUR/SDG rate analysis, executed in compliance with Sudan Central Bank foreign exchange regulations in Khartoum.</w:t>
            </w:r>
          </w:p>
        </w:tc>
        <w:tc>
          <w:tcPr/>
          <w:p>
            <w:pPr>
              <w:pStyle w:val="Compact"/>
              <w:jc w:val="left"/>
            </w:pPr>
            <w:r>
              <w:t xml:space="preserve">FX Advisory</w:t>
            </w:r>
          </w:p>
        </w:tc>
        <w:tc>
          <w:tcPr/>
          <w:p>
            <w:pPr>
              <w:pStyle w:val="Compact"/>
              <w:jc w:val="left"/>
            </w:pPr>
            <w:r>
              <w:t xml:space="preserve">8 transactions</w:t>
            </w:r>
          </w:p>
        </w:tc>
        <w:tc>
          <w:tcPr/>
          <w:p>
            <w:pPr>
              <w:pStyle w:val="Compact"/>
              <w:jc w:val="left"/>
            </w:pPr>
            <w:r>
              <w:t xml:space="preserve">3,200.00</w:t>
            </w:r>
          </w:p>
        </w:tc>
        <w:tc>
          <w:tcPr/>
          <w:p>
            <w:pPr>
              <w:pStyle w:val="Compact"/>
              <w:jc w:val="left"/>
            </w:pPr>
            <w:r>
              <w:t xml:space="preserve">25,600.00</w:t>
            </w:r>
          </w:p>
        </w:tc>
      </w:tr>
      <w:tr>
        <w:tc>
          <w:tcPr/>
          <w:p>
            <w:pPr>
              <w:pStyle w:val="Compact"/>
              <w:jc w:val="left"/>
            </w:pPr>
            <w:r>
              <w:t xml:space="preserve">3</w:t>
            </w:r>
          </w:p>
        </w:tc>
        <w:tc>
          <w:tcPr/>
          <w:p>
            <w:pPr>
              <w:pStyle w:val="Compact"/>
              <w:jc w:val="left"/>
            </w:pPr>
            <w:r>
              <w:t xml:space="preserve">Trade finance structuring and letter of credit (LC) issuance support for import/export operations, coordinated with partner banks in Khartoum and regional financial institutions.</w:t>
            </w:r>
          </w:p>
        </w:tc>
        <w:tc>
          <w:tcPr/>
          <w:p>
            <w:pPr>
              <w:pStyle w:val="Compact"/>
              <w:jc w:val="left"/>
            </w:pPr>
            <w:r>
              <w:t xml:space="preserve">Trade Finance</w:t>
            </w:r>
          </w:p>
        </w:tc>
        <w:tc>
          <w:tcPr/>
          <w:p>
            <w:pPr>
              <w:pStyle w:val="Compact"/>
              <w:jc w:val="left"/>
            </w:pPr>
            <w:r>
              <w:t xml:space="preserve">3 LCs</w:t>
            </w:r>
          </w:p>
        </w:tc>
        <w:tc>
          <w:tcPr/>
          <w:p>
            <w:pPr>
              <w:pStyle w:val="Compact"/>
              <w:jc w:val="left"/>
            </w:pPr>
            <w:r>
              <w:t xml:space="preserve">8,750.00</w:t>
            </w:r>
          </w:p>
        </w:tc>
        <w:tc>
          <w:tcPr/>
          <w:p>
            <w:pPr>
              <w:pStyle w:val="Compact"/>
              <w:jc w:val="left"/>
            </w:pPr>
            <w:r>
              <w:t xml:space="preserve">26,250.00</w:t>
            </w:r>
          </w:p>
        </w:tc>
      </w:tr>
      <w:tr>
        <w:tc>
          <w:tcPr/>
          <w:p>
            <w:pPr>
              <w:pStyle w:val="Compact"/>
              <w:jc w:val="left"/>
            </w:pPr>
            <w:r>
              <w:t xml:space="preserve">4</w:t>
            </w:r>
          </w:p>
        </w:tc>
        <w:tc>
          <w:tcPr/>
          <w:p>
            <w:pPr>
              <w:pStyle w:val="Compact"/>
              <w:jc w:val="left"/>
            </w:pPr>
            <w:r>
              <w:t xml:space="preserve">Cash flow forecasting and treasury management consulting provided by the assigned Banker to optimize the client's working capital within the Sudanese banking framework.</w:t>
            </w:r>
          </w:p>
        </w:tc>
        <w:tc>
          <w:tcPr/>
          <w:p>
            <w:pPr>
              <w:pStyle w:val="Compact"/>
              <w:jc w:val="left"/>
            </w:pPr>
            <w:r>
              <w:t xml:space="preserve">Treasury Advisory</w:t>
            </w:r>
          </w:p>
        </w:tc>
        <w:tc>
          <w:tcPr/>
          <w:p>
            <w:pPr>
              <w:pStyle w:val="Compact"/>
              <w:jc w:val="left"/>
            </w:pPr>
            <w:r>
              <w:t xml:space="preserve">4 sessions</w:t>
            </w:r>
          </w:p>
        </w:tc>
        <w:tc>
          <w:tcPr/>
          <w:p>
            <w:pPr>
              <w:pStyle w:val="Compact"/>
              <w:jc w:val="left"/>
            </w:pPr>
            <w:r>
              <w:t xml:space="preserve">4,500.00</w:t>
            </w:r>
          </w:p>
        </w:tc>
        <w:tc>
          <w:tcPr/>
          <w:p>
            <w:pPr>
              <w:pStyle w:val="Compact"/>
              <w:jc w:val="left"/>
            </w:pPr>
            <w:r>
              <w:t xml:space="preserve">18,000.00</w:t>
            </w:r>
          </w:p>
        </w:tc>
      </w:tr>
      <w:tr>
        <w:tc>
          <w:tcPr/>
          <w:p>
            <w:pPr>
              <w:pStyle w:val="Compact"/>
              <w:jc w:val="left"/>
            </w:pPr>
            <w:r>
              <w:t xml:space="preserve">5</w:t>
            </w:r>
          </w:p>
        </w:tc>
        <w:tc>
          <w:tcPr/>
          <w:p>
            <w:pPr>
              <w:pStyle w:val="Compact"/>
              <w:jc w:val="left"/>
            </w:pPr>
            <w:r>
              <w:t xml:space="preserve">Regulatory compliance review and anti-money laundering (AML) documentation preparation in accordance with the Sudan Central Bank directives applicable to commercial entities in Khartoum.</w:t>
            </w:r>
          </w:p>
        </w:tc>
        <w:tc>
          <w:tcPr/>
          <w:p>
            <w:pPr>
              <w:pStyle w:val="Compact"/>
              <w:jc w:val="left"/>
            </w:pPr>
            <w:r>
              <w:t xml:space="preserve">Compliance</w:t>
            </w:r>
          </w:p>
        </w:tc>
        <w:tc>
          <w:tcPr/>
          <w:p>
            <w:pPr>
              <w:pStyle w:val="Compact"/>
              <w:jc w:val="left"/>
            </w:pPr>
            <w:r>
              <w:t xml:space="preserve">1 review</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6</w:t>
            </w:r>
          </w:p>
        </w:tc>
        <w:tc>
          <w:tcPr/>
          <w:p>
            <w:pPr>
              <w:pStyle w:val="Compact"/>
              <w:jc w:val="left"/>
            </w:pPr>
            <w:r>
              <w:t xml:space="preserve">Payroll banking setup and bulk salary disbursement processing for 120 employees, managed through the Banker's dedicated corporate banking channel in Khartoum.</w:t>
            </w:r>
          </w:p>
        </w:tc>
        <w:tc>
          <w:tcPr/>
          <w:p>
            <w:pPr>
              <w:pStyle w:val="Compact"/>
              <w:jc w:val="left"/>
            </w:pPr>
            <w:r>
              <w:t xml:space="preserve">Payroll Services</w:t>
            </w:r>
          </w:p>
        </w:tc>
        <w:tc>
          <w:tcPr/>
          <w:p>
            <w:pPr>
              <w:pStyle w:val="Compact"/>
              <w:jc w:val="left"/>
            </w:pPr>
            <w:r>
              <w:t xml:space="preserve">1 cycle</w:t>
            </w:r>
          </w:p>
        </w:tc>
        <w:tc>
          <w:tcPr/>
          <w:p>
            <w:pPr>
              <w:pStyle w:val="Compact"/>
              <w:jc w:val="left"/>
            </w:pPr>
            <w:r>
              <w:t xml:space="preserve">6,400.00</w:t>
            </w:r>
          </w:p>
        </w:tc>
        <w:tc>
          <w:tcPr/>
          <w:p>
            <w:pPr>
              <w:pStyle w:val="Compact"/>
              <w:jc w:val="left"/>
            </w:pPr>
            <w:r>
              <w:t xml:space="preserve">6,400.00</w:t>
            </w:r>
          </w:p>
        </w:tc>
      </w:tr>
      <w:tr>
        <w:tc>
          <w:tcPr/>
          <w:p>
            <w:pPr>
              <w:pStyle w:val="Compact"/>
              <w:jc w:val="left"/>
            </w:pPr>
            <w:r>
              <w:t xml:space="preserve">7</w:t>
            </w:r>
          </w:p>
        </w:tc>
        <w:tc>
          <w:tcPr/>
          <w:p>
            <w:pPr>
              <w:pStyle w:val="Compact"/>
              <w:jc w:val="left"/>
            </w:pPr>
            <w:r>
              <w:t xml:space="preserve">Annual banking relationship review and strategic financial planning session conducted by the senior Banker at the client's premises in Khartoum, Sudan.</w:t>
            </w:r>
          </w:p>
        </w:tc>
        <w:tc>
          <w:tcPr/>
          <w:p>
            <w:pPr>
              <w:pStyle w:val="Compact"/>
              <w:jc w:val="left"/>
            </w:pPr>
            <w:r>
              <w:t xml:space="preserve">Strategic Advisory</w:t>
            </w:r>
          </w:p>
        </w:tc>
        <w:tc>
          <w:tcPr/>
          <w:p>
            <w:pPr>
              <w:pStyle w:val="Compact"/>
              <w:jc w:val="left"/>
            </w:pPr>
            <w:r>
              <w:t xml:space="preserve">1 session</w:t>
            </w:r>
          </w:p>
        </w:tc>
        <w:tc>
          <w:tcPr/>
          <w:p>
            <w:pPr>
              <w:pStyle w:val="Compact"/>
              <w:jc w:val="left"/>
            </w:pPr>
            <w:r>
              <w:t xml:space="preserve">7,200.00</w:t>
            </w:r>
          </w:p>
        </w:tc>
        <w:tc>
          <w:tcPr/>
          <w:p>
            <w:pPr>
              <w:pStyle w:val="Compact"/>
              <w:jc w:val="left"/>
            </w:pPr>
            <w:r>
              <w:t xml:space="preserve">7,200.00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105,750.00 SDG</w:t>
            </w:r>
          </w:p>
        </w:tc>
      </w:tr>
      <w:tr>
        <w:tc>
          <w:tcPr/>
          <w:p>
            <w:pPr>
              <w:pStyle w:val="Compact"/>
              <w:jc w:val="left"/>
            </w:pPr>
            <w:r>
              <w:t xml:space="preserve">VAT (10% — Sudan Khartoum Standard Rate)</w:t>
            </w:r>
          </w:p>
        </w:tc>
        <w:tc>
          <w:tcPr/>
          <w:p>
            <w:pPr>
              <w:pStyle w:val="Compact"/>
              <w:jc w:val="right"/>
            </w:pPr>
            <w:r>
              <w:t xml:space="preserve">10,575.00 SDG</w:t>
            </w:r>
          </w:p>
        </w:tc>
      </w:tr>
      <w:tr>
        <w:tc>
          <w:tcPr/>
          <w:p>
            <w:pPr>
              <w:pStyle w:val="Compact"/>
              <w:jc w:val="left"/>
            </w:pPr>
            <w:r>
              <w:t xml:space="preserve">Banker Service Surcharge (2%)</w:t>
            </w:r>
          </w:p>
        </w:tc>
        <w:tc>
          <w:tcPr/>
          <w:p>
            <w:pPr>
              <w:pStyle w:val="Compact"/>
              <w:jc w:val="right"/>
            </w:pPr>
            <w:r>
              <w:t xml:space="preserve">2,115.00 SDG</w:t>
            </w:r>
          </w:p>
        </w:tc>
      </w:tr>
      <w:tr>
        <w:tc>
          <w:tcPr/>
          <w:p>
            <w:pPr>
              <w:pStyle w:val="Compact"/>
              <w:jc w:val="left"/>
            </w:pPr>
            <w:r>
              <w:t xml:space="preserve">Discount (Early Payment — 3%)</w:t>
            </w:r>
          </w:p>
        </w:tc>
        <w:tc>
          <w:tcPr/>
          <w:p>
            <w:pPr>
              <w:pStyle w:val="Compact"/>
              <w:jc w:val="right"/>
            </w:pPr>
            <w:r>
              <w:t xml:space="preserve">-3,472.50 SDG</w:t>
            </w:r>
          </w:p>
        </w:tc>
      </w:tr>
      <w:tr>
        <w:tc>
          <w:tcPr/>
          <w:p>
            <w:pPr>
              <w:pStyle w:val="Compact"/>
              <w:jc w:val="left"/>
            </w:pPr>
            <w:r>
              <w:t xml:space="preserve">GRAND TOTAL DUE</w:t>
            </w:r>
          </w:p>
        </w:tc>
        <w:tc>
          <w:tcPr/>
          <w:p>
            <w:pPr>
              <w:pStyle w:val="Compact"/>
              <w:jc w:val="right"/>
            </w:pPr>
            <w:r>
              <w:t xml:space="preserve">114,967.50 SDG</w:t>
            </w:r>
          </w:p>
        </w:tc>
      </w:tr>
    </w:tbl>
    <w:p>
      <w:pPr>
        <w:pStyle w:val="BodyText"/>
      </w:pPr>
      <w:r>
        <w:rPr>
          <w:bCs/>
          <w:b/>
        </w:rPr>
        <w:t xml:space="preserve">Payment Instructions:</w:t>
      </w:r>
      <w:r>
        <w:t xml:space="preserve"> </w:t>
      </w:r>
      <w:r>
        <w:t xml:space="preserve">All payments for this Invoice must be remitted in Sudanese Pounds (SDG) to the Banker's designated corporate account at Bank of Khartoum, Branch: Al-Murad, Account No. 0042-8871-5523-9910, SWIFT: BOKHSDKH. Cheques should be made payable to "Al-Hassan Financial Advisory &amp; Banking Services." International wire transfers are accepted in USD at the prevailing Sudan Central Bank reference rate on the date of receipt.</w:t>
      </w:r>
    </w:p>
    <w:bookmarkStart w:id="24" w:name="terms-conditions-of-this-invoice"/>
    <w:p>
      <w:pPr>
        <w:pStyle w:val="Heading3"/>
      </w:pPr>
      <w:r>
        <w:t xml:space="preserve">Terms &amp; Conditions of This Invoice</w:t>
      </w:r>
    </w:p>
    <w:p>
      <w:pPr>
        <w:numPr>
          <w:ilvl w:val="0"/>
          <w:numId w:val="1001"/>
        </w:numPr>
        <w:pStyle w:val="Compact"/>
      </w:pPr>
      <w:r>
        <w:t xml:space="preserve">This Invoice is issued by the undersigned Banker in accordance with the commercial banking regulations of the Republic of Sudan and the operational guidelines of the Sudan Central Bank as applicable to financial service providers in Khartoum.</w:t>
      </w:r>
    </w:p>
    <w:p>
      <w:pPr>
        <w:numPr>
          <w:ilvl w:val="0"/>
          <w:numId w:val="1001"/>
        </w:numPr>
        <w:pStyle w:val="Compact"/>
      </w:pPr>
      <w:r>
        <w:t xml:space="preserve">Payment is due within fifteen (15) calendar days from the date of issue. Late payments shall attract a penalty interest of 1.5% per month, calculated on the outstanding balance, in line with Sudanese commercial law.</w:t>
      </w:r>
    </w:p>
    <w:p>
      <w:pPr>
        <w:numPr>
          <w:ilvl w:val="0"/>
          <w:numId w:val="1001"/>
        </w:numPr>
        <w:pStyle w:val="Compact"/>
      </w:pPr>
      <w:r>
        <w:t xml:space="preserve">All banking services described in this Invoice have been performed by a licensed and registered Banker operating within the jurisdiction of Khartoum, Sudan. The Banker holds valid authorization from the Sudan Central Bank to provide corporate advisory, trade finance, and treasury management services.</w:t>
      </w:r>
    </w:p>
    <w:p>
      <w:pPr>
        <w:numPr>
          <w:ilvl w:val="0"/>
          <w:numId w:val="1001"/>
        </w:numPr>
        <w:pStyle w:val="Compact"/>
      </w:pPr>
      <w:r>
        <w:t xml:space="preserve">The client acknowledges that all foreign exchange transactions referenced in this Invoice were executed in full compliance with the Foreign Exchange Control Act of Sudan and the current directives issued by the Sudan Central Bank's Department of Banking Supervision in Khartoum.</w:t>
      </w:r>
    </w:p>
    <w:p>
      <w:pPr>
        <w:numPr>
          <w:ilvl w:val="0"/>
          <w:numId w:val="1001"/>
        </w:numPr>
        <w:pStyle w:val="Compact"/>
      </w:pPr>
      <w:r>
        <w:t xml:space="preserve">This Invoice constitutes a final and binding statement of services rendered. Any disputes regarding the scope or quality of banking services shall be resolved through the Sudanese commercial arbitration mechanism in Khartoum, in accordance with the Sudan Arbitration Act.</w:t>
      </w:r>
    </w:p>
    <w:p>
      <w:pPr>
        <w:numPr>
          <w:ilvl w:val="0"/>
          <w:numId w:val="1001"/>
        </w:numPr>
        <w:pStyle w:val="Compact"/>
      </w:pPr>
      <w:r>
        <w:t xml:space="preserve">The Banker reserves the right to suspend ongoing services if payment is not received by the due date stated above. All fees and charges listed herein are exclusive of any third-party bank charges, government levies, or regulatory fees imposed by the Sudan Central Bank or the National Bank of Sudan.</w:t>
      </w:r>
    </w:p>
    <w:p>
      <w:pPr>
        <w:numPr>
          <w:ilvl w:val="0"/>
          <w:numId w:val="1001"/>
        </w:numPr>
        <w:pStyle w:val="Compact"/>
      </w:pPr>
      <w:r>
        <w:t xml:space="preserve">This Invoice is valid for a period of ninety (90) days from the date of issue. After this period, the Banker reserves the right to reissue the Invoice with updated rates reflecting any changes in the Sudanese banking sector or regulatory environment in Khartoum.</w:t>
      </w:r>
    </w:p>
    <w:p>
      <w:pPr>
        <w:numPr>
          <w:ilvl w:val="0"/>
          <w:numId w:val="1001"/>
        </w:numPr>
        <w:pStyle w:val="Compact"/>
      </w:pPr>
      <w:r>
        <w:t xml:space="preserve">All personal and financial data processed in connection with this Invoice shall be handled in strict accordance with the Sudanese Data Protection and Privacy regulations. The Banker commits to maintaining the highest standards of confidentiality as befitting a professional banking relationship in Khartoum, Sudan.</w:t>
      </w:r>
    </w:p>
    <w:bookmarkEnd w:id="24"/>
    <w:p>
      <w:pPr>
        <w:pStyle w:val="FirstParagraph"/>
      </w:pPr>
      <w:r>
        <w:rPr>
          <w:bCs/>
          <w:b/>
        </w:rPr>
        <w:t xml:space="preserve">Al-Hassan Financial Advisory &amp; Banking Services</w:t>
      </w:r>
      <w:r>
        <w:t xml:space="preserve"> </w:t>
      </w:r>
      <w:r>
        <w:t xml:space="preserve">— Licensed Banker, Khartoum, Sudan</w:t>
      </w:r>
    </w:p>
    <w:p>
      <w:pPr>
        <w:pStyle w:val="BodyText"/>
      </w:pPr>
      <w:r>
        <w:t xml:space="preserve">42 Al-Murad Street, Omdurman District, Khartoum, Republic of Sudan | Tel: +249-183-555-0142 | Email: invoices@alhassanbanker.sd</w:t>
      </w:r>
    </w:p>
    <w:p>
      <w:pPr>
        <w:pStyle w:val="BodyText"/>
      </w:pPr>
      <w:r>
        <w:t xml:space="preserve">Registered with the Sudan Central Bank — License No. SDB-2024-00871 | Commercial Reg. KH-2019-44521</w:t>
      </w:r>
    </w:p>
    <w:p>
      <w:pPr>
        <w:pStyle w:val="BodyText"/>
      </w:pPr>
      <w:r>
        <w:t xml:space="preserve">This Invoice was generated electronically and is valid without a physical signature. For verification, contact the issuing Banker at the address above.</w:t>
      </w:r>
    </w:p>
    <w:p>
      <w:pPr>
        <w:pStyle w:val="BodyText"/>
      </w:pPr>
      <w:r>
        <w:rPr>
          <w:iCs/>
          <w:i/>
        </w:rPr>
        <w:t xml:space="preserve">Thank you for your continued trust in our banking services in Khartoum, Sudan.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Banking Services - Sudan Khartoum</dc:title>
  <dc:creator/>
  <dc:language>en</dc:language>
  <cp:keywords/>
  <dcterms:created xsi:type="dcterms:W3CDTF">2026-10-10T06:23:37Z</dcterms:created>
  <dcterms:modified xsi:type="dcterms:W3CDTF">2026-10-10T06:23:37Z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