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Zurich</w:t>
      </w:r>
      <w:r>
        <w:t xml:space="preserve"> </w:t>
      </w:r>
      <w:r>
        <w:t xml:space="preserve">Banking</w:t>
      </w:r>
      <w:r>
        <w:t xml:space="preserve"> </w:t>
      </w:r>
      <w:r>
        <w:t xml:space="preserve">Services</w:t>
      </w:r>
    </w:p>
    <w:bookmarkStart w:id="20" w:name="zürich-private-banking-ag"/>
    <w:p>
      <w:pPr>
        <w:pStyle w:val="Heading1"/>
      </w:pPr>
      <w:r>
        <w:t xml:space="preserve">ZÜRICH PRIVATE BANKING AG</w:t>
      </w:r>
    </w:p>
    <w:p>
      <w:pPr>
        <w:pStyle w:val="FirstParagraph"/>
      </w:pPr>
      <w:r>
        <w:t xml:space="preserve">Bahnhofstrasse 142, 8001 Zürich, Switzerland</w:t>
      </w:r>
    </w:p>
    <w:p>
      <w:pPr>
        <w:pStyle w:val="BodyText"/>
      </w:pPr>
      <w:r>
        <w:t xml:space="preserve">Phone: +41 44 210 88 00 | Email: billing@zurichprivatebanking.ch</w:t>
      </w:r>
    </w:p>
    <w:p>
      <w:pPr>
        <w:pStyle w:val="BodyText"/>
      </w:pPr>
      <w:r>
        <w:t xml:space="preserve">VAT No. (MwSt-Nr.): CHE-112.345.678 IVA</w:t>
      </w:r>
    </w:p>
    <w:p>
      <w:pPr>
        <w:pStyle w:val="BodyText"/>
      </w:pPr>
      <w:r>
        <w:t xml:space="preserve">Commercial Register: Zurich (ZHR), No. CH-020.3.012.345-6</w:t>
      </w:r>
    </w:p>
    <w:bookmarkEnd w:id="20"/>
    <w:bookmarkStart w:id="21" w:name="invoice"/>
    <w:p>
      <w:pPr>
        <w:pStyle w:val="Heading2"/>
      </w:pPr>
      <w:r>
        <w:t xml:space="preserve">INVOICE</w:t>
      </w:r>
    </w:p>
    <w:p>
      <w:pPr>
        <w:pStyle w:val="FirstParagraph"/>
      </w:pPr>
      <w:r>
        <w:t xml:space="preserve">Rechnung / Facture</w:t>
      </w:r>
    </w:p>
    <w:p>
      <w:pPr>
        <w:pStyle w:val="BodyText"/>
      </w:pPr>
      <w:r>
        <w:t xml:space="preserve">Invoice No.: ZPB-2025-04871</w:t>
      </w:r>
    </w:p>
    <w:p>
      <w:pPr>
        <w:pStyle w:val="BodyText"/>
      </w:pPr>
      <w:r>
        <w:t xml:space="preserve">Date of Issue: 15 June 2025</w:t>
      </w:r>
    </w:p>
    <w:p>
      <w:pPr>
        <w:pStyle w:val="BodyText"/>
      </w:pPr>
      <w:r>
        <w:t xml:space="preserve">Due Date: 15 July 2025</w:t>
      </w:r>
    </w:p>
    <w:bookmarkEnd w:id="21"/>
    <w:bookmarkStart w:id="22" w:name="billed-to-rechnungsempfänger"/>
    <w:p>
      <w:pPr>
        <w:pStyle w:val="Heading3"/>
      </w:pPr>
      <w:r>
        <w:t xml:space="preserve">Billed To (Rechnungsempfänger)</w:t>
      </w:r>
    </w:p>
    <w:p>
      <w:pPr>
        <w:pStyle w:val="FirstParagraph"/>
      </w:pPr>
      <w:r>
        <w:rPr>
          <w:bCs/>
          <w:b/>
        </w:rPr>
        <w:t xml:space="preserve">Client Name:</w:t>
      </w:r>
      <w:r>
        <w:t xml:space="preserve"> </w:t>
      </w:r>
      <w:r>
        <w:t xml:space="preserve">Dr. Heinrich Müller</w:t>
      </w:r>
    </w:p>
    <w:p>
      <w:pPr>
        <w:pStyle w:val="BodyText"/>
      </w:pPr>
      <w:r>
        <w:rPr>
          <w:bCs/>
          <w:b/>
        </w:rPr>
        <w:t xml:space="preserve">Company:</w:t>
      </w:r>
      <w:r>
        <w:t xml:space="preserve"> </w:t>
      </w:r>
      <w:r>
        <w:t xml:space="preserve">Müller &amp; Söhne Industrieanlagen GmbH</w:t>
      </w:r>
    </w:p>
    <w:p>
      <w:pPr>
        <w:pStyle w:val="BodyText"/>
      </w:pPr>
      <w:r>
        <w:rPr>
          <w:bCs/>
          <w:b/>
        </w:rPr>
        <w:t xml:space="preserve">Address:</w:t>
      </w:r>
      <w:r>
        <w:t xml:space="preserve"> </w:t>
      </w:r>
      <w:r>
        <w:t xml:space="preserve">Seefeldstrasse 207, 8008 Zürich, Switzerland</w:t>
      </w:r>
    </w:p>
    <w:p>
      <w:pPr>
        <w:pStyle w:val="BodyText"/>
      </w:pPr>
      <w:r>
        <w:rPr>
          <w:bCs/>
          <w:b/>
        </w:rPr>
        <w:t xml:space="preserve">VAT No.:</w:t>
      </w:r>
      <w:r>
        <w:t xml:space="preserve"> </w:t>
      </w:r>
      <w:r>
        <w:t xml:space="preserve">CHE-297.654.321 IVA</w:t>
      </w:r>
    </w:p>
    <w:p>
      <w:pPr>
        <w:pStyle w:val="BodyText"/>
      </w:pPr>
      <w:r>
        <w:rPr>
          <w:bCs/>
          <w:b/>
        </w:rPr>
        <w:t xml:space="preserve">Client Reference:</w:t>
      </w:r>
      <w:r>
        <w:t xml:space="preserve"> </w:t>
      </w:r>
      <w:r>
        <w:t xml:space="preserve">ZPB-ACCT-2019-00342</w:t>
      </w:r>
    </w:p>
    <w:bookmarkEnd w:id="22"/>
    <w:bookmarkStart w:id="23" w:name="service-details"/>
    <w:p>
      <w:pPr>
        <w:pStyle w:val="Heading3"/>
      </w:pPr>
      <w:r>
        <w:t xml:space="preserve">Service Details</w:t>
      </w:r>
    </w:p>
    <w:p>
      <w:pPr>
        <w:pStyle w:val="FirstParagraph"/>
      </w:pPr>
      <w:r>
        <w:rPr>
          <w:bCs/>
          <w:b/>
        </w:rPr>
        <w:t xml:space="preserve">Banker / Account Manager:</w:t>
      </w:r>
      <w:r>
        <w:t xml:space="preserve"> </w:t>
      </w:r>
      <w:r>
        <w:t xml:space="preserve">Mr. Lukas Brenner, CFA, CFP</w:t>
      </w:r>
    </w:p>
    <w:p>
      <w:pPr>
        <w:pStyle w:val="BodyText"/>
      </w:pPr>
      <w:r>
        <w:rPr>
          <w:bCs/>
          <w:b/>
        </w:rPr>
        <w:t xml:space="preserve">Department:</w:t>
      </w:r>
      <w:r>
        <w:t xml:space="preserve"> </w:t>
      </w:r>
      <w:r>
        <w:t xml:space="preserve">Private Wealth Management, Zurich</w:t>
      </w:r>
    </w:p>
    <w:p>
      <w:pPr>
        <w:pStyle w:val="BodyText"/>
      </w:pPr>
      <w:r>
        <w:rPr>
          <w:bCs/>
          <w:b/>
        </w:rPr>
        <w:t xml:space="preserve">Service Period:</w:t>
      </w:r>
      <w:r>
        <w:t xml:space="preserve"> </w:t>
      </w:r>
      <w:r>
        <w:t xml:space="preserve">1 January 2025 – 31 May 2025</w:t>
      </w:r>
    </w:p>
    <w:p>
      <w:pPr>
        <w:pStyle w:val="BodyText"/>
      </w:pPr>
      <w:r>
        <w:rPr>
          <w:bCs/>
          <w:b/>
        </w:rPr>
        <w:t xml:space="preserve">Engagement Type:</w:t>
      </w:r>
      <w:r>
        <w:t xml:space="preserve"> </w:t>
      </w:r>
      <w:r>
        <w:t xml:space="preserve">Ongoing Advisory &amp; Portfolio Management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Banking Services Rendered</w:t>
            </w:r>
          </w:p>
        </w:tc>
        <w:tc>
          <w:tcPr/>
          <w:p>
            <w:pPr>
              <w:pStyle w:val="Compact"/>
              <w:jc w:val="left"/>
            </w:pPr>
            <w:r>
              <w:t xml:space="preserve">Rate (CHF)</w:t>
            </w:r>
          </w:p>
        </w:tc>
        <w:tc>
          <w:tcPr/>
          <w:p>
            <w:pPr>
              <w:pStyle w:val="Compact"/>
              <w:jc w:val="left"/>
            </w:pPr>
            <w:r>
              <w:t xml:space="preserve">Quantity / Hours</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Comprehensive portfolio review and strategic asset allocation advisory conducted by senior banker Mr. Brenner at our Zurich headquarters, including risk assessment and rebalancing recommendations for the client's diversified investment portfolio.</w:t>
            </w:r>
          </w:p>
        </w:tc>
        <w:tc>
          <w:tcPr/>
          <w:p>
            <w:pPr>
              <w:pStyle w:val="Compact"/>
              <w:jc w:val="left"/>
            </w:pPr>
            <w:r>
              <w:t xml:space="preserve">280.00</w:t>
            </w:r>
          </w:p>
        </w:tc>
        <w:tc>
          <w:tcPr/>
          <w:p>
            <w:pPr>
              <w:pStyle w:val="Compact"/>
              <w:jc w:val="left"/>
            </w:pPr>
            <w:r>
              <w:t xml:space="preserve">12.5 hrs</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Quarterly performance reporting and tax-optimization consultation in accordance with Swiss Federal Tax Administration (ESTV) guidelines, prepared by the dedicated banker team for the client's holding structure in the Canton of Zurich.</w:t>
            </w:r>
          </w:p>
        </w:tc>
        <w:tc>
          <w:tcPr/>
          <w:p>
            <w:pPr>
              <w:pStyle w:val="Compact"/>
              <w:jc w:val="left"/>
            </w:pPr>
            <w:r>
              <w:t xml:space="preserve">250.00</w:t>
            </w:r>
          </w:p>
        </w:tc>
        <w:tc>
          <w:tcPr/>
          <w:p>
            <w:pPr>
              <w:pStyle w:val="Compact"/>
              <w:jc w:val="left"/>
            </w:pPr>
            <w:r>
              <w:t xml:space="preserve">8.0 hrs</w:t>
            </w:r>
          </w:p>
        </w:tc>
        <w:tc>
          <w:tcPr/>
          <w:p>
            <w:pPr>
              <w:pStyle w:val="Compact"/>
              <w:jc w:val="left"/>
            </w:pPr>
            <w:r>
              <w:t xml:space="preserve">2,000.00</w:t>
            </w:r>
          </w:p>
        </w:tc>
      </w:tr>
      <w:tr>
        <w:tc>
          <w:tcPr/>
          <w:p>
            <w:pPr>
              <w:pStyle w:val="Compact"/>
              <w:jc w:val="left"/>
            </w:pPr>
            <w:r>
              <w:t xml:space="preserve">03</w:t>
            </w:r>
          </w:p>
        </w:tc>
        <w:tc>
          <w:tcPr/>
          <w:p>
            <w:pPr>
              <w:pStyle w:val="Compact"/>
              <w:jc w:val="left"/>
            </w:pPr>
            <w:r>
              <w:t xml:space="preserve">Corporate banking advisory for the client's industrial enterprise, including liquidity management, trade finance structuring, and foreign exchange hedging strategies for EUR/CHF and USD/CHF exposure, managed by the assigned banker.</w:t>
            </w:r>
          </w:p>
        </w:tc>
        <w:tc>
          <w:tcPr/>
          <w:p>
            <w:pPr>
              <w:pStyle w:val="Compact"/>
              <w:jc w:val="left"/>
            </w:pPr>
            <w:r>
              <w:t xml:space="preserve">320.00</w:t>
            </w:r>
          </w:p>
        </w:tc>
        <w:tc>
          <w:tcPr/>
          <w:p>
            <w:pPr>
              <w:pStyle w:val="Compact"/>
              <w:jc w:val="left"/>
            </w:pPr>
            <w:r>
              <w:t xml:space="preserve">10.0 hrs</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Estate planning and succession advisory session held at the Zurich office, covering Swiss inheritance law (ZGB Art. 457 ff.), foundation structuring, and cross-border wealth transfer considerations for the client's family trust established in Zug.</w:t>
            </w:r>
          </w:p>
        </w:tc>
        <w:tc>
          <w:tcPr/>
          <w:p>
            <w:pPr>
              <w:pStyle w:val="Compact"/>
              <w:jc w:val="left"/>
            </w:pPr>
            <w:r>
              <w:t xml:space="preserve">350.00</w:t>
            </w:r>
          </w:p>
        </w:tc>
        <w:tc>
          <w:tcPr/>
          <w:p>
            <w:pPr>
              <w:pStyle w:val="Compact"/>
              <w:jc w:val="left"/>
            </w:pPr>
            <w:r>
              <w:t xml:space="preserve">6.0 hrs</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Annual compliance and anti-money-laundering (AML) due diligence review as mandated by the Swiss Federal Act on the Financial Market Supervision (FINMA) and the Anti-Money Laundering Act (GwG), performed by the responsible banker and compliance officer.</w:t>
            </w:r>
          </w:p>
        </w:tc>
        <w:tc>
          <w:tcPr/>
          <w:p>
            <w:pPr>
              <w:pStyle w:val="Compact"/>
              <w:jc w:val="left"/>
            </w:pPr>
            <w:r>
              <w:t xml:space="preserve">200.00</w:t>
            </w:r>
          </w:p>
        </w:tc>
        <w:tc>
          <w:tcPr/>
          <w:p>
            <w:pPr>
              <w:pStyle w:val="Compact"/>
              <w:jc w:val="left"/>
            </w:pPr>
            <w:r>
              <w:t xml:space="preserve">4.0 hrs</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Administrative and transactional banking fees: wire transfers, securities settlement, custody account maintenance, and document processing for the period January through May 2025, as handled by the client's dedicated banker.</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1,450.00</w:t>
            </w:r>
          </w:p>
        </w:tc>
      </w:tr>
    </w:tbl>
    <w:p>
      <w:pPr>
        <w:pStyle w:val="BodyText"/>
      </w:pPr>
      <w:r>
        <w:t xml:space="preserve">Subtotal (Zwischensumme):</w:t>
      </w:r>
      <w:r>
        <w:t xml:space="preserve">CHF 13,050.00</w:t>
      </w:r>
    </w:p>
    <w:p>
      <w:pPr>
        <w:pStyle w:val="BodyText"/>
      </w:pPr>
      <w:r>
        <w:t xml:space="preserve">VAT 8.1% (MwST / TVA):</w:t>
      </w:r>
      <w:r>
        <w:t xml:space="preserve">CHF 1,057.05</w:t>
      </w:r>
    </w:p>
    <w:p>
      <w:pPr>
        <w:pStyle w:val="BodyText"/>
      </w:pPr>
      <w:r>
        <w:t xml:space="preserve">TOTAL DUE (Gesamtbetrag):</w:t>
      </w:r>
      <w:r>
        <w:t xml:space="preserve">CHF 14,107.05</w:t>
      </w:r>
    </w:p>
    <w:bookmarkStart w:id="24" w:name="payment-instructions-zahlungsanweisungen"/>
    <w:p>
      <w:pPr>
        <w:pStyle w:val="Heading3"/>
      </w:pPr>
      <w:r>
        <w:t xml:space="preserve">Payment Instructions (Zahlungsanweisungen)</w:t>
      </w:r>
    </w:p>
    <w:p>
      <w:pPr>
        <w:pStyle w:val="FirstParagraph"/>
      </w:pPr>
      <w:r>
        <w:rPr>
          <w:bCs/>
          <w:b/>
        </w:rPr>
        <w:t xml:space="preserve">Bank:</w:t>
      </w:r>
      <w:r>
        <w:t xml:space="preserve"> </w:t>
      </w:r>
      <w:r>
        <w:t xml:space="preserve">Zürich Private Banking AG, Bahnhofstrasse 142, 8001 Zürich, Switzerland</w:t>
      </w:r>
    </w:p>
    <w:p>
      <w:pPr>
        <w:pStyle w:val="BodyText"/>
      </w:pPr>
      <w:r>
        <w:rPr>
          <w:bCs/>
          <w:b/>
        </w:rPr>
        <w:t xml:space="preserve">IBAN:</w:t>
      </w:r>
      <w:r>
        <w:t xml:space="preserve"> </w:t>
      </w:r>
      <w:r>
        <w:t xml:space="preserve">CH93 0076 2011 6238 5295 7</w:t>
      </w:r>
    </w:p>
    <w:p>
      <w:pPr>
        <w:pStyle w:val="BodyText"/>
      </w:pPr>
      <w:r>
        <w:rPr>
          <w:bCs/>
          <w:b/>
        </w:rPr>
        <w:t xml:space="preserve">BIC / SWIFT:</w:t>
      </w:r>
      <w:r>
        <w:t xml:space="preserve"> </w:t>
      </w:r>
      <w:r>
        <w:t xml:space="preserve">ZKBKCHZZ80A</w:t>
      </w:r>
    </w:p>
    <w:p>
      <w:pPr>
        <w:pStyle w:val="BodyText"/>
      </w:pPr>
      <w:r>
        <w:rPr>
          <w:bCs/>
          <w:b/>
        </w:rPr>
        <w:t xml:space="preserve">Reference (Verwendungszweck):</w:t>
      </w:r>
      <w:r>
        <w:t xml:space="preserve"> </w:t>
      </w:r>
      <w:r>
        <w:t xml:space="preserve">ZPB-2025-04871 / Müller &amp; Söhne GmbH</w:t>
      </w:r>
    </w:p>
    <w:p>
      <w:pPr>
        <w:pStyle w:val="BodyText"/>
      </w:pPr>
      <w:r>
        <w:rPr>
          <w:bCs/>
          <w:b/>
        </w:rPr>
        <w:t xml:space="preserve">Payment Method:</w:t>
      </w:r>
      <w:r>
        <w:t xml:space="preserve"> </w:t>
      </w:r>
      <w:r>
        <w:t xml:space="preserve">Bank transfer (SEPA / Swiss domestic transfer) within 30 days of invoice date.</w:t>
      </w:r>
    </w:p>
    <w:p>
      <w:pPr>
        <w:pStyle w:val="BodyText"/>
      </w:pPr>
      <w:r>
        <w:rPr>
          <w:bCs/>
          <w:b/>
        </w:rPr>
        <w:t xml:space="preserve">Overdue Interest:</w:t>
      </w:r>
      <w:r>
        <w:t xml:space="preserve"> </w:t>
      </w:r>
      <w:r>
        <w:t xml:space="preserve">5% per annum in accordance with Art. 104 of the Swiss Code of Obligations (OR), applied from the due date until full settlement.</w:t>
      </w:r>
    </w:p>
    <w:bookmarkEnd w:id="24"/>
    <w:bookmarkStart w:id="25" w:name="important-notes-legal-provisions"/>
    <w:p>
      <w:pPr>
        <w:pStyle w:val="Heading3"/>
      </w:pPr>
      <w:r>
        <w:t xml:space="preserve">Important Notes &amp; Legal Provisions</w:t>
      </w:r>
    </w:p>
    <w:p>
      <w:pPr>
        <w:numPr>
          <w:ilvl w:val="0"/>
          <w:numId w:val="1001"/>
        </w:numPr>
        <w:pStyle w:val="Compact"/>
      </w:pPr>
      <w:r>
        <w:t xml:space="preserve">This invoice is issued by Zürich Private Banking AG, a licensed banking institution supervised by the Swiss Financial Market Supervisory Authority (FINMA) and headquartered in the city of Zurich, Switzerland. All banking services described herein are rendered by qualified bankers holding the requisite FINMA-recognized professional certifications.</w:t>
      </w:r>
    </w:p>
    <w:p>
      <w:pPr>
        <w:numPr>
          <w:ilvl w:val="0"/>
          <w:numId w:val="1001"/>
        </w:numPr>
        <w:pStyle w:val="Compact"/>
      </w:pPr>
      <w:r>
        <w:t xml:space="preserve">The services outlined in this invoice constitute professional banking and financial advisory engagements. The banker responsible for this account, Mr. Lukas Brenner, acts in accordance with the Swiss Banking Act (BankG) and the applicable cantonal regulations of the Canton of Zurich.</w:t>
      </w:r>
    </w:p>
    <w:p>
      <w:pPr>
        <w:numPr>
          <w:ilvl w:val="0"/>
          <w:numId w:val="1001"/>
        </w:numPr>
        <w:pStyle w:val="Compact"/>
      </w:pPr>
      <w:r>
        <w:t xml:space="preserve">All amounts are denominated in Swiss Francs (CHF). In the event of payment in a foreign currency, the conversion shall be executed at the prevailing Zurich Foreign Exchange (ZFX) rate on the date of settlement, and any conversion costs shall be borne by the client.</w:t>
      </w:r>
    </w:p>
    <w:p>
      <w:pPr>
        <w:numPr>
          <w:ilvl w:val="0"/>
          <w:numId w:val="1001"/>
        </w:numPr>
        <w:pStyle w:val="Compact"/>
      </w:pPr>
      <w:r>
        <w:t xml:space="preserve">This invoice is subject to the general terms and conditions of Zürich Private Banking AG, which are governed by the law of the Swiss Confederation, with exclusive jurisdiction of the courts of the city of Zurich (Kanton Zürich). Any disputes arising from this invoice or the underlying banking services shall be resolved in accordance with Swiss law.</w:t>
      </w:r>
    </w:p>
    <w:p>
      <w:pPr>
        <w:numPr>
          <w:ilvl w:val="0"/>
          <w:numId w:val="1001"/>
        </w:numPr>
        <w:pStyle w:val="Compact"/>
      </w:pPr>
      <w:r>
        <w:t xml:space="preserve">Client data processed in connection with this invoice is handled in strict compliance with the Swiss Federal Act on Data Protection (DSG) and the applicable provisions of the Swiss Banking Act regarding client confidentiality (Bankgeheimnis, Art. 47 BankG).</w:t>
      </w:r>
    </w:p>
    <w:p>
      <w:pPr>
        <w:numPr>
          <w:ilvl w:val="0"/>
          <w:numId w:val="1001"/>
        </w:numPr>
        <w:pStyle w:val="Compact"/>
      </w:pPr>
      <w:r>
        <w:t xml:space="preserve">Please retain this invoice for your tax records. For clients subject to Swiss withholding tax (Quellensteuer) on investment income, the relevant tax documentation will be provided separately by the banker's office in Zurich prior to the end of the calendar year.</w:t>
      </w:r>
    </w:p>
    <w:p>
      <w:pPr>
        <w:numPr>
          <w:ilvl w:val="0"/>
          <w:numId w:val="1001"/>
        </w:numPr>
        <w:pStyle w:val="Compact"/>
      </w:pPr>
      <w:r>
        <w:t xml:space="preserve">Should you have any questions regarding this invoice or the banking services rendered, please contact your dedicated banker, Mr. Lukas Brenner, directly at +41 44 210 88 42 or via email at l.brenner@zurichprivatebanking.ch. Our Zurich office is accessible Monday through Friday, 08:00–17:30 CET.</w:t>
      </w:r>
    </w:p>
    <w:bookmarkEnd w:id="25"/>
    <w:p>
      <w:pPr>
        <w:pStyle w:val="FirstParagraph"/>
      </w:pPr>
      <w:r>
        <w:t xml:space="preserve">Issued in Zurich, Switzerland, on 15 June 2025</w:t>
      </w:r>
    </w:p>
    <w:p>
      <w:pPr>
        <w:pStyle w:val="BodyText"/>
      </w:pPr>
      <w:r>
        <w:t xml:space="preserve">For and on behalf of Zürich Private Banking AG</w:t>
      </w:r>
    </w:p>
    <w:p>
      <w:pPr>
        <w:pStyle w:val="BodyText"/>
      </w:pPr>
      <w:r>
        <w:t xml:space="preserve">Mr. Lukas Brenner, CFA, CFP</w:t>
      </w:r>
    </w:p>
    <w:p>
      <w:pPr>
        <w:pStyle w:val="BodyText"/>
      </w:pPr>
      <w:r>
        <w:t xml:space="preserve">Senior Banker &amp; Head of Private Wealth Management</w:t>
      </w:r>
    </w:p>
    <w:p>
      <w:pPr>
        <w:pStyle w:val="BodyText"/>
      </w:pPr>
      <w:r>
        <w:t xml:space="preserve">Zürich Private Banking AG | Bahnhofstrasse 142, 8001 Zürich, Switzerland</w:t>
      </w:r>
    </w:p>
    <w:p>
      <w:pPr>
        <w:pStyle w:val="BodyText"/>
      </w:pPr>
      <w:r>
        <w:t xml:space="preserve">Registered in the Commercial Register of the Canton of Zurich | CHE-112.345.678 IVA</w:t>
      </w:r>
    </w:p>
    <w:p>
      <w:pPr>
        <w:pStyle w:val="BodyText"/>
      </w:pPr>
      <w:r>
        <w:t xml:space="preserve">Supervised by FINMA (Swiss Financial Market Supervisory Authority) | Member of the Swiss Bankers Association (SBVg)</w:t>
      </w:r>
    </w:p>
    <w:p>
      <w:pPr>
        <w:pStyle w:val="BodyText"/>
      </w:pPr>
      <w:r>
        <w:t xml:space="preserve">This document is a valid electronic invoice in accordance with Swiss tax law. No physical signature is required for legal validity.</w:t>
      </w:r>
    </w:p>
    <w:p>
      <w:pPr>
        <w:pStyle w:val="BodyText"/>
      </w:pPr>
      <w:r>
        <w:t xml:space="preserve">© 2025 Zürich Private Banking AG. All rights reserved. Invoice ZPB-2025-04871.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Zurich Banking Services</dc:title>
  <dc:creator/>
  <dc:language>en</dc:language>
  <cp:keywords/>
  <dcterms:created xsi:type="dcterms:W3CDTF">2026-10-10T07:02:26Z</dcterms:created>
  <dcterms:modified xsi:type="dcterms:W3CDTF">2026-10-10T07:02:26Z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