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Professional Banking &amp; Financial Advisory Services</w:t>
      </w:r>
    </w:p>
    <w:p>
      <w:pPr>
        <w:pStyle w:val="BodyText"/>
      </w:pPr>
      <w:r>
        <w:t xml:space="preserve">Thailand Bangkok</w:t>
      </w:r>
    </w:p>
    <w:bookmarkStart w:id="20" w:name="invoice-number"/>
    <w:p>
      <w:pPr>
        <w:pStyle w:val="Heading3"/>
      </w:pPr>
      <w:r>
        <w:t xml:space="preserve">Invoice Number:</w:t>
      </w:r>
    </w:p>
    <w:p>
      <w:pPr>
        <w:pStyle w:val="FirstParagraph"/>
      </w:pPr>
      <w:r>
        <w:t xml:space="preserve">INV-BKK-2025-00472</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banker-service-provider"/>
    <w:p>
      <w:pPr>
        <w:pStyle w:val="Heading4"/>
      </w:pPr>
      <w:r>
        <w:t xml:space="preserve">Banker / Service Provider</w:t>
      </w:r>
    </w:p>
    <w:p>
      <w:pPr>
        <w:pStyle w:val="FirstParagraph"/>
      </w:pPr>
      <w:r>
        <w:rPr>
          <w:bCs/>
          <w:b/>
        </w:rPr>
        <w:t xml:space="preserve">Mr. Somchai Rattanakorn</w:t>
      </w:r>
    </w:p>
    <w:p>
      <w:pPr>
        <w:pStyle w:val="BodyText"/>
      </w:pPr>
      <w:r>
        <w:t xml:space="preserve">Senior Banker &amp; Financial Consultant</w:t>
      </w:r>
    </w:p>
    <w:p>
      <w:pPr>
        <w:pStyle w:val="BodyText"/>
      </w:pPr>
      <w:r>
        <w:t xml:space="preserve">Siam Commercial Banking Advisory Group</w:t>
      </w:r>
    </w:p>
    <w:p>
      <w:pPr>
        <w:pStyle w:val="BodyText"/>
      </w:pPr>
      <w:r>
        <w:t xml:space="preserve">42nd Floor, Sathorn Square Tower</w:t>
      </w:r>
    </w:p>
    <w:p>
      <w:pPr>
        <w:pStyle w:val="BodyText"/>
      </w:pPr>
      <w:r>
        <w:t xml:space="preserve">99/99 Sathorn Road, Silom</w:t>
      </w:r>
    </w:p>
    <w:p>
      <w:pPr>
        <w:pStyle w:val="BodyText"/>
      </w:pPr>
      <w:r>
        <w:t xml:space="preserve">Bangkok 10120, Thailand</w:t>
      </w:r>
    </w:p>
    <w:p>
      <w:pPr>
        <w:pStyle w:val="BodyText"/>
      </w:pPr>
      <w:r>
        <w:t xml:space="preserve">Tel: +66 2 234 5678</w:t>
      </w:r>
    </w:p>
    <w:p>
      <w:pPr>
        <w:pStyle w:val="BodyText"/>
      </w:pPr>
      <w:r>
        <w:t xml:space="preserve">Email: s.rattanakorn@scbangkory.com</w:t>
      </w:r>
    </w:p>
    <w:p>
      <w:pPr>
        <w:pStyle w:val="BodyText"/>
      </w:pPr>
      <w:r>
        <w:t xml:space="preserve">Tax ID: 0-1055-48291-32-7</w:t>
      </w:r>
    </w:p>
    <w:bookmarkEnd w:id="24"/>
    <w:bookmarkStart w:id="25" w:name="client-bill-to"/>
    <w:p>
      <w:pPr>
        <w:pStyle w:val="Heading4"/>
      </w:pPr>
      <w:r>
        <w:t xml:space="preserve">Client / Bill To</w:t>
      </w:r>
    </w:p>
    <w:p>
      <w:pPr>
        <w:pStyle w:val="FirstParagraph"/>
      </w:pPr>
      <w:r>
        <w:rPr>
          <w:bCs/>
          <w:b/>
        </w:rPr>
        <w:t xml:space="preserve">Chulalongkorn Industrial Holdings Co., Ltd.</w:t>
      </w:r>
    </w:p>
    <w:p>
      <w:pPr>
        <w:pStyle w:val="BodyText"/>
      </w:pPr>
      <w:r>
        <w:t xml:space="preserve">Attn: Ms. Nattaporn Wongsawat</w:t>
      </w:r>
    </w:p>
    <w:p>
      <w:pPr>
        <w:pStyle w:val="BodyText"/>
      </w:pPr>
      <w:r>
        <w:t xml:space="preserve">Chief Financial Officer</w:t>
      </w:r>
    </w:p>
    <w:p>
      <w:pPr>
        <w:pStyle w:val="BodyText"/>
      </w:pPr>
      <w:r>
        <w:t xml:space="preserve">188/22 Rama IV Road, Khlong Toei</w:t>
      </w:r>
    </w:p>
    <w:p>
      <w:pPr>
        <w:pStyle w:val="BodyText"/>
      </w:pPr>
      <w:r>
        <w:t xml:space="preserve">Bangkok 10110, Thailand</w:t>
      </w:r>
    </w:p>
    <w:p>
      <w:pPr>
        <w:pStyle w:val="BodyText"/>
      </w:pPr>
      <w:r>
        <w:t xml:space="preserve">Tel: +66 2 651 8800</w:t>
      </w:r>
    </w:p>
    <w:p>
      <w:pPr>
        <w:pStyle w:val="BodyText"/>
      </w:pPr>
      <w:r>
        <w:t xml:space="preserve">Email: n.wongsawat@chulind.co.th</w:t>
      </w:r>
    </w:p>
    <w:p>
      <w:pPr>
        <w:pStyle w:val="BodyText"/>
      </w:pPr>
      <w:r>
        <w:t xml:space="preserve">Tax ID: 0-1055-62347-11-4</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Services</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Corporate Banking Account Restructuring &amp; Optimization – Comprehensive review and reorganization of the client's multi-currency corporate accounts held at major banks in Thailand Bangkok, including consolidation of sub-accounts and negotiation of interbank fee reductions.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Trade Finance Advisory – Structuring of letters of credit, documentary collections, and export credit facilities for the client's international supply chain operations between Thailand Bangkok and Southeast Asian trading partners.</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42,500.00</w:t>
            </w:r>
          </w:p>
        </w:tc>
        <w:tc>
          <w:tcPr/>
          <w:p>
            <w:pPr>
              <w:pStyle w:val="Compact"/>
              <w:jc w:val="left"/>
            </w:pPr>
            <w:r>
              <w:t xml:space="preserve">127,500.00</w:t>
            </w:r>
          </w:p>
        </w:tc>
      </w:tr>
      <w:tr>
        <w:tc>
          <w:tcPr/>
          <w:p>
            <w:pPr>
              <w:pStyle w:val="Compact"/>
              <w:jc w:val="left"/>
            </w:pPr>
            <w:r>
              <w:t xml:space="preserve">3</w:t>
            </w:r>
          </w:p>
        </w:tc>
        <w:tc>
          <w:tcPr/>
          <w:p>
            <w:pPr>
              <w:pStyle w:val="Compact"/>
              <w:jc w:val="left"/>
            </w:pPr>
            <w:r>
              <w:t xml:space="preserve">Foreign Exchange Risk Management Consultation – Development of hedging strategies and forward contract schedules to protect the client's Thai Baht (THB) revenue streams against USD and JPY volatility, in compliance with Bank of Thailand regulations.</w:t>
            </w:r>
          </w:p>
        </w:tc>
        <w:tc>
          <w:tcPr/>
          <w:p>
            <w:pPr>
              <w:pStyle w:val="Compact"/>
              <w:jc w:val="left"/>
            </w:pPr>
            <w:r>
              <w:t xml:space="preserve">09 Jun 2025</w:t>
            </w:r>
          </w:p>
        </w:tc>
        <w:tc>
          <w:tcPr/>
          <w:p>
            <w:pPr>
              <w:pStyle w:val="Compact"/>
              <w:jc w:val="left"/>
            </w:pPr>
            <w:r>
              <w:t xml:space="preserve">2</w:t>
            </w:r>
          </w:p>
        </w:tc>
        <w:tc>
          <w:tcPr/>
          <w:p>
            <w:pPr>
              <w:pStyle w:val="Compact"/>
              <w:jc w:val="left"/>
            </w:pPr>
            <w:r>
              <w:t xml:space="preserve">55,000.00</w:t>
            </w:r>
          </w:p>
        </w:tc>
        <w:tc>
          <w:tcPr/>
          <w:p>
            <w:pPr>
              <w:pStyle w:val="Compact"/>
              <w:jc w:val="left"/>
            </w:pPr>
            <w:r>
              <w:t xml:space="preserve">110,000.00</w:t>
            </w:r>
          </w:p>
        </w:tc>
      </w:tr>
      <w:tr>
        <w:tc>
          <w:tcPr/>
          <w:p>
            <w:pPr>
              <w:pStyle w:val="Compact"/>
              <w:jc w:val="left"/>
            </w:pPr>
            <w:r>
              <w:t xml:space="preserve">4</w:t>
            </w:r>
          </w:p>
        </w:tc>
        <w:tc>
          <w:tcPr/>
          <w:p>
            <w:pPr>
              <w:pStyle w:val="Compact"/>
              <w:jc w:val="left"/>
            </w:pPr>
            <w:r>
              <w:t xml:space="preserve">Regulatory Compliance &amp; AML Audit Support – Assistance with the annual Anti-Money Laundering compliance review as mandated by the Office of the Anti-Money Laundering (AMLO) of Thailand, including preparation of transaction reporting documentation for the Bangkok financial district operations.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Board-Level Financial Presentation &amp; Banking Relationship Review – Preparation and delivery of a comprehensive presentation to the client's board of directors outlining current banking relationships, credit facility utilization, and recommended strategic banking partnerships within the Thailand Bangkok metropolitan area.</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On-Site Banking Operations Audit – Physical inspection and process evaluation of the client's cash management operations at their Bangkok headquarters, including vault procedures, teller reconciliation, and electronic funds transfer protocols.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555,500.00 THB</w:t>
            </w:r>
          </w:p>
        </w:tc>
      </w:tr>
      <w:tr>
        <w:tc>
          <w:tcPr/>
          <w:p>
            <w:pPr>
              <w:pStyle w:val="Compact"/>
              <w:jc w:val="left"/>
            </w:pPr>
            <w:r>
              <w:t xml:space="preserve">VAT (7% – Thailand Revenue Department)</w:t>
            </w:r>
          </w:p>
        </w:tc>
        <w:tc>
          <w:tcPr/>
          <w:p>
            <w:pPr>
              <w:pStyle w:val="Compact"/>
              <w:jc w:val="right"/>
            </w:pPr>
            <w:r>
              <w:t xml:space="preserve">38,885.00 THB</w:t>
            </w:r>
          </w:p>
        </w:tc>
      </w:tr>
      <w:tr>
        <w:tc>
          <w:tcPr/>
          <w:p>
            <w:pPr>
              <w:pStyle w:val="Compact"/>
              <w:jc w:val="left"/>
            </w:pPr>
            <w:r>
              <w:t xml:space="preserve">Withholding Tax Deduction (1.5% – Service Fee)</w:t>
            </w:r>
          </w:p>
        </w:tc>
        <w:tc>
          <w:tcPr/>
          <w:p>
            <w:pPr>
              <w:pStyle w:val="Compact"/>
              <w:jc w:val="right"/>
            </w:pPr>
            <w:r>
              <w:t xml:space="preserve">(8,332.50) THB</w:t>
            </w:r>
          </w:p>
        </w:tc>
      </w:tr>
      <w:tr>
        <w:tc>
          <w:tcPr/>
          <w:p>
            <w:pPr>
              <w:pStyle w:val="Compact"/>
              <w:jc w:val="left"/>
            </w:pPr>
            <w:r>
              <w:t xml:space="preserve">Grand Total Due</w:t>
            </w:r>
          </w:p>
        </w:tc>
        <w:tc>
          <w:tcPr/>
          <w:p>
            <w:pPr>
              <w:pStyle w:val="Compact"/>
              <w:jc w:val="right"/>
            </w:pPr>
            <w:r>
              <w:t xml:space="preserve">586,052.50 THB</w:t>
            </w:r>
          </w:p>
        </w:tc>
      </w:tr>
    </w:tbl>
    <w:bookmarkStart w:id="26" w:name="invoice-notes-payment-instructions"/>
    <w:p>
      <w:pPr>
        <w:pStyle w:val="Heading4"/>
      </w:pPr>
      <w:r>
        <w:t xml:space="preserve">Invoice Notes &amp; Payment Instructions</w:t>
      </w:r>
    </w:p>
    <w:p>
      <w:pPr>
        <w:pStyle w:val="FirstParagraph"/>
      </w:pPr>
      <w:r>
        <w:rPr>
          <w:bCs/>
          <w:b/>
        </w:rPr>
        <w:t xml:space="preserve">Banker's Note:</w:t>
      </w:r>
      <w:r>
        <w:t xml:space="preserve"> </w:t>
      </w:r>
      <w:r>
        <w:t xml:space="preserve">This Invoice has been prepared in accordance with the Thai Revenue Code and the regulations governing professional banking services rendered within Thailand Bangkok. All services listed above were personally supervised and executed by the undersigned Banker, Mr. Somchai Rattanakorn, in his capacity as a licensed financial consultant registered with the Securities and Exchange Commission of Thailand (SEC).</w:t>
      </w:r>
    </w:p>
    <w:p>
      <w:pPr>
        <w:pStyle w:val="BodyText"/>
      </w:pPr>
      <w:r>
        <w:rPr>
          <w:bCs/>
          <w:b/>
        </w:rPr>
        <w:t xml:space="preserve">Payment Method:</w:t>
      </w:r>
      <w:r>
        <w:t xml:space="preserve"> </w:t>
      </w:r>
      <w:r>
        <w:t xml:space="preserve">Please remit the total amount of 586,052.50 THB via bank transfer to the following account: Siam Commercial Bank, Sathorn Branch, Bangkok. Account Name: Siam Commercial Banking Advisory Group. Account Number: 015-3-48291-7. SWIFT: SIBLTHBK. Please reference Invoice Number INV-BKK-2025-00472 in your transfer memo.</w:t>
      </w:r>
    </w:p>
    <w:p>
      <w:pPr>
        <w:pStyle w:val="BodyText"/>
      </w:pPr>
      <w:r>
        <w:rPr>
          <w:bCs/>
          <w:b/>
        </w:rPr>
        <w:t xml:space="preserve">Currency:</w:t>
      </w:r>
      <w:r>
        <w:t xml:space="preserve"> </w:t>
      </w:r>
      <w:r>
        <w:t xml:space="preserve">All amounts on this Invoice are denominated in Thai Baht (THB). In the event of payment in foreign currency, the conversion rate shall be the Bank of Thailand's official selling rate on the date of remittance.</w:t>
      </w:r>
    </w:p>
    <w:p>
      <w:pPr>
        <w:pStyle w:val="BodyText"/>
      </w:pPr>
      <w:r>
        <w:rPr>
          <w:bCs/>
          <w:b/>
        </w:rPr>
        <w:t xml:space="preserve">Late Payment:</w:t>
      </w:r>
      <w:r>
        <w:t xml:space="preserve"> </w:t>
      </w:r>
      <w:r>
        <w:t xml:space="preserve">A late payment surcharge of 1.5% per month (18% per annum) shall apply to any outstanding balance beyond the due date of 15 July 2025, as stipulated under the Thai Civil and Commercial Code.</w:t>
      </w:r>
    </w:p>
    <w:bookmarkEnd w:id="26"/>
    <w:bookmarkStart w:id="27" w:name="X285341db8ddf04abaef6419af4c7225fbc8b8a5"/>
    <w:p>
      <w:pPr>
        <w:pStyle w:val="Heading4"/>
      </w:pPr>
      <w:r>
        <w:t xml:space="preserve">Terms &amp; Conditions – Banker Services in Thailand Bangkok</w:t>
      </w:r>
    </w:p>
    <w:p>
      <w:pPr>
        <w:pStyle w:val="FirstParagraph"/>
      </w:pPr>
      <w:r>
        <w:t xml:space="preserve">1. This Invoice constitutes a formal request for payment for professional banking and financial advisory services rendered by the Banker to the Client in Thailand Bangkok. Acceptance of this Invoice by the Client implies agreement to all terms stated herein.</w:t>
      </w:r>
    </w:p>
    <w:p>
      <w:pPr>
        <w:pStyle w:val="BodyText"/>
      </w:pPr>
      <w:r>
        <w:t xml:space="preserve">2. The Banker warrants that all services described in this Invoice were performed in full compliance with the Banking Business Act B.E. 2551 (2008), the Money Laundering Prevention and Suppression Act B.E. 2542 (1999), and all applicable regulations issued by the Bank of Thailand and the Office of the Anti-Money Laundering.</w:t>
      </w:r>
    </w:p>
    <w:p>
      <w:pPr>
        <w:pStyle w:val="BodyText"/>
      </w:pPr>
      <w:r>
        <w:t xml:space="preserve">3. All confidential financial data, account information, and trade secrets disclosed by the Client during the engagement shall be treated with the highest degree of confidentiality by the Banker and shall not be disclosed to any third party without prior written consent, except as required by Thai law or regulatory authority in Thailand Bangkok.</w:t>
      </w:r>
    </w:p>
    <w:p>
      <w:pPr>
        <w:pStyle w:val="BodyText"/>
      </w:pPr>
      <w:r>
        <w:t xml:space="preserve">4. The Banker shall not be held liable for any losses arising from market fluctuations, regulatory changes enacted by the Bank of Thailand after the date of service delivery, or actions taken by the Client in deviation from the Banker's written recommendations.</w:t>
      </w:r>
    </w:p>
    <w:p>
      <w:pPr>
        <w:pStyle w:val="BodyText"/>
      </w:pPr>
      <w:r>
        <w:t xml:space="preserve">5. Disputes arising from this Invoice or the underlying services shall be resolved through arbitration in Bangkok, Thailand, in accordance with the rules of the Thai Arbitration Institute. The governing law shall be the laws of the Kingdom of Thailand.</w:t>
      </w:r>
    </w:p>
    <w:p>
      <w:pPr>
        <w:pStyle w:val="BodyText"/>
      </w:pPr>
      <w:r>
        <w:t xml:space="preserve">6. This Invoice is valid for a period of ninety (90) days from the issue date. After this period, the Banker reserves the right to reissue the Invoice with updated rates if applicable.</w:t>
      </w:r>
    </w:p>
    <w:bookmarkEnd w:id="27"/>
    <w:p>
      <w:pPr>
        <w:pStyle w:val="BodyText"/>
      </w:pPr>
      <w:r>
        <w:t xml:space="preserve">Thank you for your business. This Invoice was generated by Siam Commercial Banking Advisory Group, Bangkok, Thailand.</w:t>
      </w:r>
    </w:p>
    <w:p>
      <w:pPr>
        <w:pStyle w:val="BodyText"/>
      </w:pPr>
      <w:r>
        <w:t xml:space="preserve">For queries regarding this Invoice, please contact the undersigned Banker at the address and telephone number provided above.</w:t>
      </w:r>
    </w:p>
    <w:p>
      <w:pPr>
        <w:pStyle w:val="BodyText"/>
      </w:pPr>
      <w:r>
        <w:t xml:space="preserve">© 2025 Siam Commercial Banking Advisory Group – Bangkok, Thailand.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Thailand Bangkok</dc:title>
  <dc:creator/>
  <dc:language>en</dc:language>
  <cp:keywords/>
  <dcterms:created xsi:type="dcterms:W3CDTF">2026-10-10T08:45:14Z</dcterms:created>
  <dcterms:modified xsi:type="dcterms:W3CDTF">2026-10-10T08:45:14Z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