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merkez-bankacılık-danışmanlık-a.ş."/>
    <w:p>
      <w:pPr>
        <w:pStyle w:val="Heading1"/>
      </w:pPr>
      <w:r>
        <w:t xml:space="preserve">Merkez Bankacılık Danışmanlık A.Ş.</w:t>
      </w:r>
    </w:p>
    <w:p>
      <w:pPr>
        <w:pStyle w:val="FirstParagraph"/>
      </w:pPr>
      <w:r>
        <w:t xml:space="preserve">Senior Banker &amp; Financial Advisory Services</w:t>
      </w:r>
    </w:p>
    <w:p>
      <w:pPr>
        <w:pStyle w:val="BodyText"/>
      </w:pPr>
      <w:r>
        <w:t xml:space="preserve">Kızılay Mahallesi, Atatürk Bulvarı No: 142, Kızılay / Ankara, Türkiye</w:t>
      </w:r>
    </w:p>
    <w:p>
      <w:pPr>
        <w:pStyle w:val="BodyText"/>
      </w:pPr>
      <w:r>
        <w:t xml:space="preserve">Tax ID (VKN): 1234567890 | MERSIS: 0123456789000012</w:t>
      </w:r>
    </w:p>
    <w:p>
      <w:pPr>
        <w:pStyle w:val="BodyText"/>
      </w:pPr>
      <w:r>
        <w:t xml:space="preserve">Phone: +90 (312) 445 67 89 | Email: billing@merkezbank.com.tr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INV-ANK-2025-00487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Ankara, Turkey</w:t>
      </w:r>
    </w:p>
    <w:bookmarkEnd w:id="21"/>
    <w:bookmarkStart w:id="22" w:name="bill-to-client"/>
    <w:p>
      <w:pPr>
        <w:pStyle w:val="Heading3"/>
      </w:pPr>
      <w:r>
        <w:t xml:space="preserve">Bill To (Client)</w:t>
      </w:r>
    </w:p>
    <w:p>
      <w:pPr>
        <w:pStyle w:val="FirstParagraph"/>
      </w:pPr>
      <w:r>
        <w:rPr>
          <w:bCs/>
          <w:b/>
        </w:rPr>
        <w:t xml:space="preserve">Anadolu Ticaret ve Sanayi Ltd. Şti.</w:t>
      </w:r>
    </w:p>
    <w:p>
      <w:pPr>
        <w:pStyle w:val="BodyText"/>
      </w:pPr>
      <w:r>
        <w:t xml:space="preserve">Atatürk Cad. No: 88, Çankaya / Ankara, Türkiye</w:t>
      </w:r>
    </w:p>
    <w:p>
      <w:pPr>
        <w:pStyle w:val="BodyText"/>
      </w:pPr>
      <w:r>
        <w:t xml:space="preserve">Tax ID (VKN): 9876543210</w:t>
      </w:r>
    </w:p>
    <w:p>
      <w:pPr>
        <w:pStyle w:val="BodyText"/>
      </w:pPr>
      <w:r>
        <w:t xml:space="preserve">Contact: Mr. Emre Yılmaz, CFO</w:t>
      </w:r>
    </w:p>
    <w:p>
      <w:pPr>
        <w:pStyle w:val="BodyText"/>
      </w:pPr>
      <w:r>
        <w:t xml:space="preserve">Email: cfo@anatoludticaret.com.tr</w:t>
      </w:r>
    </w:p>
    <w:bookmarkEnd w:id="22"/>
    <w:bookmarkStart w:id="23" w:name="service-provider-banker"/>
    <w:p>
      <w:pPr>
        <w:pStyle w:val="Heading3"/>
      </w:pPr>
      <w:r>
        <w:t xml:space="preserve">Service Provider (Banker)</w:t>
      </w:r>
    </w:p>
    <w:p>
      <w:pPr>
        <w:pStyle w:val="FirstParagraph"/>
      </w:pPr>
      <w:r>
        <w:rPr>
          <w:bCs/>
          <w:b/>
        </w:rPr>
        <w:t xml:space="preserve">Mr. Kerem Aydın, CFA, CFP</w:t>
      </w:r>
    </w:p>
    <w:p>
      <w:pPr>
        <w:pStyle w:val="BodyText"/>
      </w:pPr>
      <w:r>
        <w:t xml:space="preserve">Senior Banker &amp; Lead Financial Advisor</w:t>
      </w:r>
    </w:p>
    <w:p>
      <w:pPr>
        <w:pStyle w:val="BodyText"/>
      </w:pPr>
      <w:r>
        <w:t xml:space="preserve">Licensed by Banking Regulation and Supervision Agency (BDDK)</w:t>
      </w:r>
    </w:p>
    <w:p>
      <w:pPr>
        <w:pStyle w:val="BodyText"/>
      </w:pPr>
      <w:r>
        <w:t xml:space="preserve">License No: BDDK-2019-44821</w:t>
      </w:r>
    </w:p>
    <w:p>
      <w:pPr>
        <w:pStyle w:val="BodyText"/>
      </w:pPr>
      <w:r>
        <w:t xml:space="preserve">Office: Kızılay / Ankara, Türkiye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corporate banking account restructuring and optimization for Anadolu Ticaret, including multi-currency account setup (TRY, EUR, USD) compliant with Central Bank of Turkey (TCMB) regulations in Ankara.</w:t>
            </w:r>
          </w:p>
        </w:tc>
        <w:tc>
          <w:tcPr/>
          <w:p>
            <w:pPr>
              <w:pStyle w:val="Compact"/>
              <w:jc w:val="left"/>
            </w:pPr>
            <w:r>
              <w:t xml:space="preserve">Jan –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Trade finance advisory and letter of credit (L/C) facilitation for import-export operations. The banker prepared and negotiated three separate L/C instruments with partner banks in Ankara and Istanbul, ensuring compliance with UCP 600 and Turkish Foreign Trade Law No. 4458.</w:t>
            </w:r>
          </w:p>
        </w:tc>
        <w:tc>
          <w:tcPr/>
          <w:p>
            <w:pPr>
              <w:pStyle w:val="Compact"/>
              <w:jc w:val="left"/>
            </w:pPr>
            <w:r>
              <w:t xml:space="preserve">Feb – May 2025</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3</w:t>
            </w:r>
          </w:p>
        </w:tc>
        <w:tc>
          <w:tcPr/>
          <w:p>
            <w:pPr>
              <w:pStyle w:val="Compact"/>
              <w:jc w:val="left"/>
            </w:pPr>
            <w:r>
              <w:t xml:space="preserve">Monthly treasury management and cash flow forecasting services. The senior banker provided weekly liquidity reports, interest rate hedging strategies (IRS contracts), and FX risk mitigation plans tailored to the Ankara business environment and TCMB monetary policy shifts.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Corporate loan structuring and refinancing advisory. The banker coordinated with three commercial banks in Ankara to secure a 25,000,000 TRY working capital facility at a competitive interest rate, including full due diligence, credit analysis, and negotiation support.</w:t>
            </w:r>
          </w:p>
        </w:tc>
        <w:tc>
          <w:tcPr/>
          <w:p>
            <w:pPr>
              <w:pStyle w:val="Compact"/>
              <w:jc w:val="left"/>
            </w:pPr>
            <w:r>
              <w:t xml:space="preserve">Mar – May 2025</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Regulatory compliance and AML (Anti-Money Laundering) audit preparation. The banker conducted a full review of the client's transaction records in accordance with Law No. 5549 (Prevention of Money Laundering) and BDDK circulars, preparing documentation for the Ankara Regional Directorate inspection.</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Executive banking seminar and staff training. A two-day workshop delivered in Ankara for 15 finance department employees covering Turkish banking regulations, digital banking platforms, and updated TCMB foreign exchange transaction rules effective 2025.</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305,500.00 TRY</w:t>
            </w:r>
          </w:p>
        </w:tc>
      </w:tr>
      <w:tr>
        <w:tc>
          <w:tcPr/>
          <w:p>
            <w:pPr>
              <w:pStyle w:val="Compact"/>
              <w:jc w:val="left"/>
            </w:pPr>
            <w:r>
              <w:t xml:space="preserve">VAT (KDV) – 20%</w:t>
            </w:r>
          </w:p>
        </w:tc>
        <w:tc>
          <w:tcPr/>
          <w:p>
            <w:pPr>
              <w:pStyle w:val="Compact"/>
              <w:jc w:val="left"/>
            </w:pPr>
            <w:r>
              <w:t xml:space="preserve">61,100.00 TRY</w:t>
            </w:r>
          </w:p>
        </w:tc>
      </w:tr>
      <w:tr>
        <w:tc>
          <w:tcPr/>
          <w:p>
            <w:pPr>
              <w:pStyle w:val="Compact"/>
              <w:jc w:val="left"/>
            </w:pPr>
            <w:r>
              <w:t xml:space="preserve">Withholding Tax (Stopaj) – 5%</w:t>
            </w:r>
          </w:p>
        </w:tc>
        <w:tc>
          <w:tcPr/>
          <w:p>
            <w:pPr>
              <w:pStyle w:val="Compact"/>
              <w:jc w:val="left"/>
            </w:pPr>
            <w:r>
              <w:t xml:space="preserve">(15,275.00) TRY</w:t>
            </w:r>
          </w:p>
        </w:tc>
      </w:tr>
      <w:tr>
        <w:tc>
          <w:tcPr/>
          <w:p>
            <w:pPr>
              <w:pStyle w:val="Compact"/>
              <w:jc w:val="left"/>
            </w:pPr>
            <w:r>
              <w:t xml:space="preserve">Grand Total Due</w:t>
            </w:r>
          </w:p>
        </w:tc>
        <w:tc>
          <w:tcPr/>
          <w:p>
            <w:pPr>
              <w:pStyle w:val="Compact"/>
              <w:jc w:val="left"/>
            </w:pPr>
            <w:r>
              <w:t xml:space="preserve">351,325.00 TRY</w:t>
            </w:r>
          </w:p>
        </w:tc>
      </w:tr>
    </w:tbl>
    <w:bookmarkStart w:id="24" w:name="payment-instructions-ankara-turkey"/>
    <w:p>
      <w:pPr>
        <w:pStyle w:val="Heading3"/>
      </w:pPr>
      <w:r>
        <w:t xml:space="preserve">Payment Instructions – Ankara, Turkey</w:t>
      </w:r>
    </w:p>
    <w:p>
      <w:pPr>
        <w:pStyle w:val="FirstParagraph"/>
      </w:pPr>
      <w:r>
        <w:rPr>
          <w:bCs/>
          <w:b/>
        </w:rPr>
        <w:t xml:space="preserve">Bank:</w:t>
      </w:r>
      <w:r>
        <w:t xml:space="preserve"> </w:t>
      </w:r>
      <w:r>
        <w:t xml:space="preserve">Ziraat Bankası A.Ş., Kızılay Branch, Ankara</w:t>
      </w:r>
    </w:p>
    <w:p>
      <w:pPr>
        <w:pStyle w:val="BodyText"/>
      </w:pPr>
      <w:r>
        <w:rPr>
          <w:bCs/>
          <w:b/>
        </w:rPr>
        <w:t xml:space="preserve">Account Name:</w:t>
      </w:r>
      <w:r>
        <w:t xml:space="preserve"> </w:t>
      </w:r>
      <w:r>
        <w:t xml:space="preserve">Merkez Bankacılık Danışmanlık A.Ş.</w:t>
      </w:r>
    </w:p>
    <w:p>
      <w:pPr>
        <w:pStyle w:val="BodyText"/>
      </w:pPr>
      <w:r>
        <w:rPr>
          <w:bCs/>
          <w:b/>
        </w:rPr>
        <w:t xml:space="preserve">IBAN:</w:t>
      </w:r>
      <w:r>
        <w:t xml:space="preserve"> </w:t>
      </w:r>
      <w:r>
        <w:t xml:space="preserve">TR33 0001 0000 1234 5678 9012 34</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INV-ANK-2025-00487</w:t>
      </w:r>
    </w:p>
    <w:p>
      <w:pPr>
        <w:pStyle w:val="BodyText"/>
      </w:pPr>
      <w:r>
        <w:rPr>
          <w:bCs/>
          <w:b/>
        </w:rPr>
        <w:t xml:space="preserve">Payment Method:</w:t>
      </w:r>
      <w:r>
        <w:t xml:space="preserve"> </w:t>
      </w:r>
      <w:r>
        <w:t xml:space="preserve">Bank transfer (EFT/Havale) or international wire transfer. Payment is due within 15 calendar days from the issue date. Late payments are subject to a penalty interest rate of 1.5% per month as stipulated under Turkish Commercial Code (Türk Ticaret Kanunu) Article 30.</w:t>
      </w:r>
    </w:p>
    <w:bookmarkEnd w:id="24"/>
    <w:bookmarkStart w:id="25" w:name="important-notes-and-terms"/>
    <w:p>
      <w:pPr>
        <w:pStyle w:val="Heading3"/>
      </w:pPr>
      <w:r>
        <w:t xml:space="preserve">Important Notes and Terms</w:t>
      </w:r>
    </w:p>
    <w:p>
      <w:pPr>
        <w:numPr>
          <w:ilvl w:val="0"/>
          <w:numId w:val="1001"/>
        </w:numPr>
        <w:pStyle w:val="Compact"/>
      </w:pPr>
      <w:r>
        <w:t xml:space="preserve">This invoice is issued in accordance with the Turkish Accounting Standards (TMS) and the General Accounting Regulation (Genel Muhasebe Tebliği) applicable in Ankara, Turkey.</w:t>
      </w:r>
    </w:p>
    <w:p>
      <w:pPr>
        <w:numPr>
          <w:ilvl w:val="0"/>
          <w:numId w:val="1001"/>
        </w:numPr>
        <w:pStyle w:val="Compact"/>
      </w:pPr>
      <w:r>
        <w:t xml:space="preserve">All banking advisory services described herein were performed by a licensed banker registered with the Banking Regulation and Supervision Agency (BDDK) and are subject to the Banking Law No. 5411 of the Republic of Turkey.</w:t>
      </w:r>
    </w:p>
    <w:p>
      <w:pPr>
        <w:numPr>
          <w:ilvl w:val="0"/>
          <w:numId w:val="1001"/>
        </w:numPr>
        <w:pStyle w:val="Compact"/>
      </w:pPr>
      <w:r>
        <w:t xml:space="preserve">The services rendered comply with the Capital Markets Board (SPK) regulations where applicable, and all client data is protected under the Personal Data Protection Law (KVKK – Law No. 6698) of Turkey.</w:t>
      </w:r>
    </w:p>
    <w:p>
      <w:pPr>
        <w:numPr>
          <w:ilvl w:val="0"/>
          <w:numId w:val="1001"/>
        </w:numPr>
        <w:pStyle w:val="Compact"/>
      </w:pPr>
      <w:r>
        <w:t xml:space="preserve">This invoice constitutes a valid fiscal document (fatura) for tax deduction purposes under the Turkish Tax Procedure Law (Vergi Usul Kanunu). The client is advised to retain this document for their Ankara regional tax office filings.</w:t>
      </w:r>
    </w:p>
    <w:p>
      <w:pPr>
        <w:numPr>
          <w:ilvl w:val="0"/>
          <w:numId w:val="1001"/>
        </w:numPr>
        <w:pStyle w:val="Compact"/>
      </w:pPr>
      <w:r>
        <w:t xml:space="preserve">Any disputes arising from this invoice or the associated banking services shall be subject to the jurisdiction of the Ankara Commercial Courts (Ankara Ticaret Mahkemeleri) in Ankara, Turkey.</w:t>
      </w:r>
    </w:p>
    <w:p>
      <w:pPr>
        <w:numPr>
          <w:ilvl w:val="0"/>
          <w:numId w:val="1001"/>
        </w:numPr>
        <w:pStyle w:val="Compact"/>
      </w:pPr>
      <w:r>
        <w:t xml:space="preserve">For questions regarding this invoice or the banking services provided, please contact the undersigned banker at the Ankara office during business hours (Monday–Friday, 09:00–17:30, Turkey time, GMT+3).</w:t>
      </w:r>
    </w:p>
    <w:bookmarkEnd w:id="25"/>
    <w:p>
      <w:pPr>
        <w:pStyle w:val="FirstParagraph"/>
      </w:pPr>
      <w:r>
        <w:rPr>
          <w:bCs/>
          <w:b/>
        </w:rPr>
        <w:t xml:space="preserve">Prepared and Issued By:</w:t>
      </w:r>
    </w:p>
    <w:p>
      <w:pPr>
        <w:pStyle w:val="BodyText"/>
      </w:pPr>
      <w:r>
        <w:t xml:space="preserve">Mr. Kerem Aydın, CFA, CFP</w:t>
      </w:r>
    </w:p>
    <w:p>
      <w:pPr>
        <w:pStyle w:val="BodyText"/>
      </w:pPr>
      <w:r>
        <w:t xml:space="preserve">Senior Banker &amp; Lead Financial Advisor</w:t>
      </w:r>
    </w:p>
    <w:p>
      <w:pPr>
        <w:pStyle w:val="BodyText"/>
      </w:pPr>
      <w:r>
        <w:t xml:space="preserve">Merkez Bankacılık Danışmanlık A.Ş. – Ankara</w:t>
      </w:r>
    </w:p>
    <w:p>
      <w:pPr>
        <w:pStyle w:val="BodyText"/>
      </w:pPr>
      <w:r>
        <w:rPr>
          <w:bCs/>
          <w:b/>
        </w:rPr>
        <w:t xml:space="preserve">Received and Approved By:</w:t>
      </w:r>
    </w:p>
    <w:p>
      <w:pPr>
        <w:pStyle w:val="BodyText"/>
      </w:pPr>
      <w:r>
        <w:t xml:space="preserve">Mr. Emre Yılmaz, CFO</w:t>
      </w:r>
    </w:p>
    <w:p>
      <w:pPr>
        <w:pStyle w:val="BodyText"/>
      </w:pPr>
      <w:r>
        <w:t xml:space="preserve">Anadolu Ticaret ve Sanayi Ltd. Şti.</w:t>
      </w:r>
    </w:p>
    <w:p>
      <w:pPr>
        <w:pStyle w:val="BodyText"/>
      </w:pPr>
      <w:r>
        <w:t xml:space="preserve">Çankaya / Ankara, Türkiye</w:t>
      </w:r>
    </w:p>
    <w:p>
      <w:pPr>
        <w:pStyle w:val="BodyText"/>
      </w:pPr>
      <w:r>
        <w:t xml:space="preserve">Merkez Bankacılık Danışmanlık A.Ş. | Kızılay Mah. Atatürk Bulvarı No: 142, 06520 Kızılay / Ankara, Türkiye</w:t>
      </w:r>
    </w:p>
    <w:p>
      <w:pPr>
        <w:pStyle w:val="BodyText"/>
      </w:pPr>
      <w:r>
        <w:t xml:space="preserve">Tax ID: 1234567890 | MERSIS: 0123456789000012 | BDDK License: BDDK-2019-44821</w:t>
      </w:r>
    </w:p>
    <w:p>
      <w:pPr>
        <w:pStyle w:val="BodyText"/>
      </w:pPr>
      <w:r>
        <w:t xml:space="preserve">This invoice was generated electronically and is valid without a physical stamp pursuant to Turkish e-Invoice (e-Fatura) regulations.</w:t>
      </w:r>
    </w:p>
    <w:p>
      <w:pPr>
        <w:pStyle w:val="BodyText"/>
      </w:pPr>
      <w:r>
        <w:t xml:space="preserve">Document Reference: INV-ANK-2025-00487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Ankara, Turkey</dc:title>
  <dc:creator/>
  <dc:language>en</dc:language>
  <cp:keywords/>
  <dcterms:created xsi:type="dcterms:W3CDTF">2026-10-10T06:44:28Z</dcterms:created>
  <dcterms:modified xsi:type="dcterms:W3CDTF">2026-10-10T06:44:28Z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