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meridian-banking-advisory-group"/>
    <w:p>
      <w:pPr>
        <w:pStyle w:val="Heading1"/>
      </w:pPr>
      <w:r>
        <w:t xml:space="preserve">Meridian Banking Advisory Group</w:t>
      </w:r>
    </w:p>
    <w:p>
      <w:pPr>
        <w:pStyle w:val="FirstParagraph"/>
      </w:pPr>
      <w:r>
        <w:t xml:space="preserve">Banker &amp; Financial Services Division</w:t>
      </w:r>
    </w:p>
    <w:p>
      <w:pPr>
        <w:pStyle w:val="BodyText"/>
      </w:pPr>
      <w:r>
        <w:t xml:space="preserve">Levent Business District, Büyükdere Caddesi No. 178</w:t>
      </w:r>
    </w:p>
    <w:p>
      <w:pPr>
        <w:pStyle w:val="BodyText"/>
      </w:pPr>
      <w:r>
        <w:t xml:space="preserve">34394 Şişli / Istanbul, Turkey</w:t>
      </w:r>
    </w:p>
    <w:p>
      <w:pPr>
        <w:pStyle w:val="BodyText"/>
      </w:pPr>
      <w:r>
        <w:t xml:space="preserve">Tax ID (VKN): 1234567890</w:t>
      </w:r>
    </w:p>
    <w:p>
      <w:pPr>
        <w:pStyle w:val="BodyText"/>
      </w:pPr>
      <w:r>
        <w:t xml:space="preserve">Phone: +90 212 555 0147 | Email: invoices@meridianbanker.com.tr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MBG-2025-IST-04872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Country of Issue:</w:t>
      </w:r>
      <w:r>
        <w:t xml:space="preserve"> </w:t>
      </w:r>
      <w:r>
        <w:t xml:space="preserve">Turkey (Istanbul)</w:t>
      </w:r>
    </w:p>
    <w:bookmarkEnd w:id="21"/>
    <w:bookmarkStart w:id="22" w:name="bill-from-banker-service-provider"/>
    <w:p>
      <w:pPr>
        <w:pStyle w:val="Heading3"/>
      </w:pPr>
      <w:r>
        <w:t xml:space="preserve">Bill From (Banker / Service Provider)</w:t>
      </w:r>
    </w:p>
    <w:p>
      <w:pPr>
        <w:pStyle w:val="FirstParagraph"/>
      </w:pPr>
      <w:r>
        <w:rPr>
          <w:bCs/>
          <w:b/>
        </w:rPr>
        <w:t xml:space="preserve">Meridian Banking Advisory Group</w:t>
      </w:r>
    </w:p>
    <w:p>
      <w:pPr>
        <w:pStyle w:val="BodyText"/>
      </w:pPr>
      <w:r>
        <w:t xml:space="preserve">Attn: Senior Banker, Mr. Emre Kaya</w:t>
      </w:r>
    </w:p>
    <w:p>
      <w:pPr>
        <w:pStyle w:val="BodyText"/>
      </w:pPr>
      <w:r>
        <w:t xml:space="preserve">License No: BDD-2019-44721</w:t>
      </w:r>
    </w:p>
    <w:p>
      <w:pPr>
        <w:pStyle w:val="BodyText"/>
      </w:pPr>
      <w:r>
        <w:t xml:space="preserve">Levent Business District, Istanbul, Turkey</w:t>
      </w:r>
    </w:p>
    <w:p>
      <w:pPr>
        <w:pStyle w:val="BodyText"/>
      </w:pPr>
      <w:r>
        <w:t xml:space="preserve">SWIFT: MBGGETIS</w:t>
      </w:r>
    </w:p>
    <w:bookmarkEnd w:id="22"/>
    <w:bookmarkStart w:id="23" w:name="bill-to-client"/>
    <w:p>
      <w:pPr>
        <w:pStyle w:val="Heading3"/>
      </w:pPr>
      <w:r>
        <w:t xml:space="preserve">Bill To (Client)</w:t>
      </w:r>
    </w:p>
    <w:p>
      <w:pPr>
        <w:pStyle w:val="FirstParagraph"/>
      </w:pPr>
      <w:r>
        <w:rPr>
          <w:bCs/>
          <w:b/>
        </w:rPr>
        <w:t xml:space="preserve">Anadolu Trade &amp; Logistics A.Ş.</w:t>
      </w:r>
    </w:p>
    <w:p>
      <w:pPr>
        <w:pStyle w:val="BodyText"/>
      </w:pPr>
      <w:r>
        <w:t xml:space="preserve">Attn: CFO, Ms. Ayşe Demir</w:t>
      </w:r>
    </w:p>
    <w:p>
      <w:pPr>
        <w:pStyle w:val="BodyText"/>
      </w:pPr>
      <w:r>
        <w:t xml:space="preserve">Tax ID (VKN): 9876543210</w:t>
      </w:r>
    </w:p>
    <w:p>
      <w:pPr>
        <w:pStyle w:val="BodyText"/>
      </w:pPr>
      <w:r>
        <w:t xml:space="preserve">Kadıköy, Moda Caddesi No. 42</w:t>
      </w:r>
    </w:p>
    <w:p>
      <w:pPr>
        <w:pStyle w:val="BodyText"/>
      </w:pPr>
      <w:r>
        <w:t xml:space="preserve">34710 Kadıköy / Istanbul, Turkey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Banking Service</w:t>
            </w:r>
          </w:p>
        </w:tc>
        <w:tc>
          <w:tcPr/>
          <w:p>
            <w:pPr>
              <w:pStyle w:val="Compact"/>
              <w:jc w:val="left"/>
            </w:pPr>
            <w:r>
              <w:t xml:space="preserve">Service Period</w:t>
            </w:r>
          </w:p>
        </w:tc>
        <w:tc>
          <w:tcPr/>
          <w:p>
            <w:pPr>
              <w:pStyle w:val="Compact"/>
              <w:jc w:val="left"/>
            </w:pPr>
            <w:r>
              <w:t xml:space="preserve">Rate (TRY)</w:t>
            </w:r>
          </w:p>
        </w:tc>
        <w:tc>
          <w:tcPr/>
          <w:p>
            <w:pPr>
              <w:pStyle w:val="Compact"/>
              <w:jc w:val="left"/>
            </w:pPr>
            <w:r>
              <w:t xml:space="preserve">Qty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Corporate Account Management &amp; Banker Advisory – Ongoing relationship management for multi-currency corporate accounts held in Turkey Istanbul financial institutions</w:t>
            </w:r>
          </w:p>
        </w:tc>
        <w:tc>
          <w:tcPr/>
          <w:p>
            <w:pPr>
              <w:pStyle w:val="Compact"/>
              <w:jc w:val="left"/>
            </w:pPr>
            <w:r>
              <w:t xml:space="preserve">Jan – Jun 2025</w:t>
            </w:r>
          </w:p>
        </w:tc>
        <w:tc>
          <w:tcPr/>
          <w:p>
            <w:pPr>
              <w:pStyle w:val="Compact"/>
              <w:jc w:val="left"/>
            </w:pPr>
            <w:r>
              <w:t xml:space="preserve">12,500.00</w:t>
            </w:r>
          </w:p>
        </w:tc>
        <w:tc>
          <w:tcPr/>
          <w:p>
            <w:pPr>
              <w:pStyle w:val="Compact"/>
              <w:jc w:val="left"/>
            </w:pPr>
            <w:r>
              <w:t xml:space="preserve">6</w:t>
            </w:r>
          </w:p>
        </w:tc>
        <w:tc>
          <w:tcPr/>
          <w:p>
            <w:pPr>
              <w:pStyle w:val="Compact"/>
              <w:jc w:val="left"/>
            </w:pPr>
            <w:r>
              <w:t xml:space="preserve">75,000.00</w:t>
            </w:r>
          </w:p>
        </w:tc>
      </w:tr>
      <w:tr>
        <w:tc>
          <w:tcPr/>
          <w:p>
            <w:pPr>
              <w:pStyle w:val="Compact"/>
              <w:jc w:val="left"/>
            </w:pPr>
            <w:r>
              <w:t xml:space="preserve">2</w:t>
            </w:r>
          </w:p>
        </w:tc>
        <w:tc>
          <w:tcPr/>
          <w:p>
            <w:pPr>
              <w:pStyle w:val="Compact"/>
              <w:jc w:val="left"/>
            </w:pPr>
            <w:r>
              <w:t xml:space="preserve">Trade Finance Structuring – Letter of Credit issuance and documentary collection services for import/export operations based in Turkey Istanbul</w:t>
            </w:r>
          </w:p>
        </w:tc>
        <w:tc>
          <w:tcPr/>
          <w:p>
            <w:pPr>
              <w:pStyle w:val="Compact"/>
              <w:jc w:val="left"/>
            </w:pPr>
            <w:r>
              <w:t xml:space="preserve">Mar 2025</w:t>
            </w:r>
          </w:p>
        </w:tc>
        <w:tc>
          <w:tcPr/>
          <w:p>
            <w:pPr>
              <w:pStyle w:val="Compact"/>
              <w:jc w:val="left"/>
            </w:pPr>
            <w:r>
              <w:t xml:space="preserve">45,000.00</w:t>
            </w:r>
          </w:p>
        </w:tc>
        <w:tc>
          <w:tcPr/>
          <w:p>
            <w:pPr>
              <w:pStyle w:val="Compact"/>
              <w:jc w:val="left"/>
            </w:pPr>
            <w:r>
              <w:t xml:space="preserve">3</w:t>
            </w:r>
          </w:p>
        </w:tc>
        <w:tc>
          <w:tcPr/>
          <w:p>
            <w:pPr>
              <w:pStyle w:val="Compact"/>
              <w:jc w:val="left"/>
            </w:pPr>
            <w:r>
              <w:t xml:space="preserve">135,000.00</w:t>
            </w:r>
          </w:p>
        </w:tc>
      </w:tr>
      <w:tr>
        <w:tc>
          <w:tcPr/>
          <w:p>
            <w:pPr>
              <w:pStyle w:val="Compact"/>
              <w:jc w:val="left"/>
            </w:pPr>
            <w:r>
              <w:t xml:space="preserve">3</w:t>
            </w:r>
          </w:p>
        </w:tc>
        <w:tc>
          <w:tcPr/>
          <w:p>
            <w:pPr>
              <w:pStyle w:val="Compact"/>
              <w:jc w:val="left"/>
            </w:pPr>
            <w:r>
              <w:t xml:space="preserve">FX Hedging &amp; Currency Risk Management – Banker-led consultation on EUR/TRY and USD/TRY hedging strategies for clients operating in Turkey Istanbul</w:t>
            </w:r>
          </w:p>
        </w:tc>
        <w:tc>
          <w:tcPr/>
          <w:p>
            <w:pPr>
              <w:pStyle w:val="Compact"/>
              <w:jc w:val="left"/>
            </w:pPr>
            <w:r>
              <w:t xml:space="preserve">Apr – Jun 2025</w:t>
            </w:r>
          </w:p>
        </w:tc>
        <w:tc>
          <w:tcPr/>
          <w:p>
            <w:pPr>
              <w:pStyle w:val="Compact"/>
              <w:jc w:val="left"/>
            </w:pPr>
            <w:r>
              <w:t xml:space="preserve">28,000.00</w:t>
            </w:r>
          </w:p>
        </w:tc>
        <w:tc>
          <w:tcPr/>
          <w:p>
            <w:pPr>
              <w:pStyle w:val="Compact"/>
              <w:jc w:val="left"/>
            </w:pPr>
            <w:r>
              <w:t xml:space="preserve">3</w:t>
            </w:r>
          </w:p>
        </w:tc>
        <w:tc>
          <w:tcPr/>
          <w:p>
            <w:pPr>
              <w:pStyle w:val="Compact"/>
              <w:jc w:val="left"/>
            </w:pPr>
            <w:r>
              <w:t xml:space="preserve">84,000.00</w:t>
            </w:r>
          </w:p>
        </w:tc>
      </w:tr>
      <w:tr>
        <w:tc>
          <w:tcPr/>
          <w:p>
            <w:pPr>
              <w:pStyle w:val="Compact"/>
              <w:jc w:val="left"/>
            </w:pPr>
            <w:r>
              <w:t xml:space="preserve">4</w:t>
            </w:r>
          </w:p>
        </w:tc>
        <w:tc>
          <w:tcPr/>
          <w:p>
            <w:pPr>
              <w:pStyle w:val="Compact"/>
              <w:jc w:val="left"/>
            </w:pPr>
            <w:r>
              <w:t xml:space="preserve">Regulatory Compliance &amp; AML Reporting – Banker oversight of anti-money laundering compliance per Turkish Banking Regulation Authority (BDDK) requirements in Turkey Istanbul</w:t>
            </w:r>
          </w:p>
        </w:tc>
        <w:tc>
          <w:tcPr/>
          <w:p>
            <w:pPr>
              <w:pStyle w:val="Compact"/>
              <w:jc w:val="left"/>
            </w:pPr>
            <w:r>
              <w:t xml:space="preserve">Jan – Jun 2025</w:t>
            </w:r>
          </w:p>
        </w:tc>
        <w:tc>
          <w:tcPr/>
          <w:p>
            <w:pPr>
              <w:pStyle w:val="Compact"/>
              <w:jc w:val="left"/>
            </w:pPr>
            <w:r>
              <w:t xml:space="preserve">18,500.00</w:t>
            </w:r>
          </w:p>
        </w:tc>
        <w:tc>
          <w:tcPr/>
          <w:p>
            <w:pPr>
              <w:pStyle w:val="Compact"/>
              <w:jc w:val="left"/>
            </w:pPr>
            <w:r>
              <w:t xml:space="preserve">6</w:t>
            </w:r>
          </w:p>
        </w:tc>
        <w:tc>
          <w:tcPr/>
          <w:p>
            <w:pPr>
              <w:pStyle w:val="Compact"/>
              <w:jc w:val="left"/>
            </w:pPr>
            <w:r>
              <w:t xml:space="preserve">111,000.00</w:t>
            </w:r>
          </w:p>
        </w:tc>
      </w:tr>
      <w:tr>
        <w:tc>
          <w:tcPr/>
          <w:p>
            <w:pPr>
              <w:pStyle w:val="Compact"/>
              <w:jc w:val="left"/>
            </w:pPr>
            <w:r>
              <w:t xml:space="preserve">5</w:t>
            </w:r>
          </w:p>
        </w:tc>
        <w:tc>
          <w:tcPr/>
          <w:p>
            <w:pPr>
              <w:pStyle w:val="Compact"/>
              <w:jc w:val="left"/>
            </w:pPr>
            <w:r>
              <w:t xml:space="preserve">Loan Origination &amp; Syndication Advisory – Banker facilitation of a 250 million TRY working capital facility with Turkish and international lenders in Turkey Istanbul</w:t>
            </w:r>
          </w:p>
        </w:tc>
        <w:tc>
          <w:tcPr/>
          <w:p>
            <w:pPr>
              <w:pStyle w:val="Compact"/>
              <w:jc w:val="left"/>
            </w:pPr>
            <w:r>
              <w:t xml:space="preserve">May 2025</w:t>
            </w:r>
          </w:p>
        </w:tc>
        <w:tc>
          <w:tcPr/>
          <w:p>
            <w:pPr>
              <w:pStyle w:val="Compact"/>
              <w:jc w:val="left"/>
            </w:pPr>
            <w:r>
              <w:t xml:space="preserve">65,000.00</w:t>
            </w:r>
          </w:p>
        </w:tc>
        <w:tc>
          <w:tcPr/>
          <w:p>
            <w:pPr>
              <w:pStyle w:val="Compact"/>
              <w:jc w:val="left"/>
            </w:pPr>
            <w:r>
              <w:t xml:space="preserve">1</w:t>
            </w:r>
          </w:p>
        </w:tc>
        <w:tc>
          <w:tcPr/>
          <w:p>
            <w:pPr>
              <w:pStyle w:val="Compact"/>
              <w:jc w:val="left"/>
            </w:pPr>
            <w:r>
              <w:t xml:space="preserve">65,000.00</w:t>
            </w:r>
          </w:p>
        </w:tc>
      </w:tr>
      <w:tr>
        <w:tc>
          <w:tcPr/>
          <w:p>
            <w:pPr>
              <w:pStyle w:val="Compact"/>
              <w:jc w:val="left"/>
            </w:pPr>
            <w:r>
              <w:t xml:space="preserve">6</w:t>
            </w:r>
          </w:p>
        </w:tc>
        <w:tc>
          <w:tcPr/>
          <w:p>
            <w:pPr>
              <w:pStyle w:val="Compact"/>
              <w:jc w:val="left"/>
            </w:pPr>
            <w:r>
              <w:t xml:space="preserve">Payroll Banking &amp; Treasury Management – Dedicated Banker support for automated payroll disbursements and daily treasury operations across Turkey Istanbul branches</w:t>
            </w:r>
          </w:p>
        </w:tc>
        <w:tc>
          <w:tcPr/>
          <w:p>
            <w:pPr>
              <w:pStyle w:val="Compact"/>
              <w:jc w:val="left"/>
            </w:pPr>
            <w:r>
              <w:t xml:space="preserve">Jan – Jun 2025</w:t>
            </w:r>
          </w:p>
        </w:tc>
        <w:tc>
          <w:tcPr/>
          <w:p>
            <w:pPr>
              <w:pStyle w:val="Compact"/>
              <w:jc w:val="left"/>
            </w:pPr>
            <w:r>
              <w:t xml:space="preserve">9,800.00</w:t>
            </w:r>
          </w:p>
        </w:tc>
        <w:tc>
          <w:tcPr/>
          <w:p>
            <w:pPr>
              <w:pStyle w:val="Compact"/>
              <w:jc w:val="left"/>
            </w:pPr>
            <w:r>
              <w:t xml:space="preserve">6</w:t>
            </w:r>
          </w:p>
        </w:tc>
        <w:tc>
          <w:tcPr/>
          <w:p>
            <w:pPr>
              <w:pStyle w:val="Compact"/>
              <w:jc w:val="left"/>
            </w:pPr>
            <w:r>
              <w:t xml:space="preserve">58,800.00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528,800.00 TRY</w:t>
            </w:r>
          </w:p>
        </w:tc>
      </w:tr>
      <w:tr>
        <w:tc>
          <w:tcPr/>
          <w:p>
            <w:pPr>
              <w:pStyle w:val="Compact"/>
              <w:jc w:val="left"/>
            </w:pPr>
            <w:r>
              <w:t xml:space="preserve">VAT (KDV) – 20%</w:t>
            </w:r>
          </w:p>
        </w:tc>
        <w:tc>
          <w:tcPr/>
          <w:p>
            <w:pPr>
              <w:pStyle w:val="Compact"/>
              <w:jc w:val="right"/>
            </w:pPr>
            <w:r>
              <w:t xml:space="preserve">105,760.00 TRY</w:t>
            </w:r>
          </w:p>
        </w:tc>
      </w:tr>
      <w:tr>
        <w:tc>
          <w:tcPr/>
          <w:p>
            <w:pPr>
              <w:pStyle w:val="Compact"/>
              <w:jc w:val="left"/>
            </w:pPr>
            <w:r>
              <w:t xml:space="preserve">Banker Service Fee (1.5%)</w:t>
            </w:r>
          </w:p>
        </w:tc>
        <w:tc>
          <w:tcPr/>
          <w:p>
            <w:pPr>
              <w:pStyle w:val="Compact"/>
              <w:jc w:val="right"/>
            </w:pPr>
            <w:r>
              <w:t xml:space="preserve">7,932.00 TRY</w:t>
            </w:r>
          </w:p>
        </w:tc>
      </w:tr>
      <w:tr>
        <w:tc>
          <w:tcPr/>
          <w:p>
            <w:pPr>
              <w:pStyle w:val="Compact"/>
              <w:jc w:val="left"/>
            </w:pPr>
            <w:r>
              <w:t xml:space="preserve">Discount – Early Payment (2%)</w:t>
            </w:r>
          </w:p>
        </w:tc>
        <w:tc>
          <w:tcPr/>
          <w:p>
            <w:pPr>
              <w:pStyle w:val="Compact"/>
              <w:jc w:val="right"/>
            </w:pPr>
            <w:r>
              <w:t xml:space="preserve">-10,576.00 TRY</w:t>
            </w:r>
          </w:p>
        </w:tc>
      </w:tr>
      <w:tr>
        <w:tc>
          <w:tcPr/>
          <w:p>
            <w:pPr>
              <w:pStyle w:val="Compact"/>
              <w:jc w:val="left"/>
            </w:pPr>
            <w:r>
              <w:t xml:space="preserve">GRAND TOTAL</w:t>
            </w:r>
          </w:p>
        </w:tc>
        <w:tc>
          <w:tcPr/>
          <w:p>
            <w:pPr>
              <w:pStyle w:val="Compact"/>
              <w:jc w:val="right"/>
            </w:pPr>
            <w:r>
              <w:t xml:space="preserve">631,916.00 TRY</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Türkiye İş Bankası A.Ş.</w:t>
      </w:r>
    </w:p>
    <w:p>
      <w:pPr>
        <w:pStyle w:val="BodyText"/>
      </w:pPr>
      <w:r>
        <w:rPr>
          <w:bCs/>
          <w:b/>
        </w:rPr>
        <w:t xml:space="preserve">Branch:</w:t>
      </w:r>
      <w:r>
        <w:t xml:space="preserve"> </w:t>
      </w:r>
      <w:r>
        <w:t xml:space="preserve">Levent / Istanbul, Turkey</w:t>
      </w:r>
    </w:p>
    <w:p>
      <w:pPr>
        <w:pStyle w:val="BodyText"/>
      </w:pPr>
      <w:r>
        <w:rPr>
          <w:bCs/>
          <w:b/>
        </w:rPr>
        <w:t xml:space="preserve">Account Name:</w:t>
      </w:r>
      <w:r>
        <w:t xml:space="preserve"> </w:t>
      </w:r>
      <w:r>
        <w:t xml:space="preserve">Meridian Banking Advisory Group</w:t>
      </w:r>
    </w:p>
    <w:p>
      <w:pPr>
        <w:pStyle w:val="BodyText"/>
      </w:pPr>
      <w:r>
        <w:rPr>
          <w:bCs/>
          <w:b/>
        </w:rPr>
        <w:t xml:space="preserve">IBAN:</w:t>
      </w:r>
      <w:r>
        <w:t xml:space="preserve"> </w:t>
      </w:r>
      <w:r>
        <w:t xml:space="preserve">TR33 0006 4000 0011 2345 6789 01</w:t>
      </w:r>
    </w:p>
    <w:p>
      <w:pPr>
        <w:pStyle w:val="BodyText"/>
      </w:pPr>
      <w:r>
        <w:rPr>
          <w:bCs/>
          <w:b/>
        </w:rPr>
        <w:t xml:space="preserve">SWIFT/BIC:</w:t>
      </w:r>
      <w:r>
        <w:t xml:space="preserve"> </w:t>
      </w:r>
      <w:r>
        <w:t xml:space="preserve">ISBKTRIS</w:t>
      </w:r>
    </w:p>
    <w:p>
      <w:pPr>
        <w:pStyle w:val="BodyText"/>
      </w:pPr>
      <w:r>
        <w:rPr>
          <w:bCs/>
          <w:b/>
        </w:rPr>
        <w:t xml:space="preserve">Reference:</w:t>
      </w:r>
      <w:r>
        <w:t xml:space="preserve"> </w:t>
      </w:r>
      <w:r>
        <w:t xml:space="preserve">MBG-2025-IST-04872</w:t>
      </w:r>
    </w:p>
    <w:bookmarkEnd w:id="24"/>
    <w:bookmarkStart w:id="25" w:name="payment-terms"/>
    <w:p>
      <w:pPr>
        <w:pStyle w:val="Heading4"/>
      </w:pPr>
      <w:r>
        <w:t xml:space="preserve">Payment Terms</w:t>
      </w:r>
    </w:p>
    <w:p>
      <w:pPr>
        <w:pStyle w:val="FirstParagraph"/>
      </w:pPr>
      <w:r>
        <w:t xml:space="preserve">Payment is due within 15 calendar days from the Invoice date.</w:t>
      </w:r>
    </w:p>
    <w:p>
      <w:pPr>
        <w:pStyle w:val="BodyText"/>
      </w:pPr>
      <w:r>
        <w:t xml:space="preserve">Payments must be made in Turkish Lira (TRY) to the designated account in Turkey Istanbul.</w:t>
      </w:r>
    </w:p>
    <w:p>
      <w:pPr>
        <w:pStyle w:val="BodyText"/>
      </w:pPr>
      <w:r>
        <w:t xml:space="preserve">Late payments are subject to a penalty of 1.5% per month as per Turkish Commercial Code (Türk Ticaret Kanunu) Article 30.</w:t>
      </w:r>
    </w:p>
    <w:p>
      <w:pPr>
        <w:pStyle w:val="BodyText"/>
      </w:pPr>
      <w:r>
        <w:t xml:space="preserve">This Invoice is valid for 90 days from the date of issue.</w:t>
      </w:r>
    </w:p>
    <w:bookmarkEnd w:id="25"/>
    <w:bookmarkStart w:id="26" w:name="terms-conditions-regulatory-notes"/>
    <w:p>
      <w:pPr>
        <w:pStyle w:val="Heading3"/>
      </w:pPr>
      <w:r>
        <w:t xml:space="preserve">Terms, Conditions &amp; Regulatory Notes</w:t>
      </w:r>
    </w:p>
    <w:p>
      <w:pPr>
        <w:numPr>
          <w:ilvl w:val="0"/>
          <w:numId w:val="1001"/>
        </w:numPr>
        <w:pStyle w:val="Compact"/>
      </w:pPr>
      <w:r>
        <w:t xml:space="preserve">This Invoice is issued in accordance with the Turkish Accounting Standards (TMS) and the regulations of the Turkish Banking Regulation and Supervision Agency (BDDK) governing all banking and financial advisory services rendered in Turkey Istanbul.</w:t>
      </w:r>
    </w:p>
    <w:p>
      <w:pPr>
        <w:numPr>
          <w:ilvl w:val="0"/>
          <w:numId w:val="1001"/>
        </w:numPr>
        <w:pStyle w:val="Compact"/>
      </w:pPr>
      <w:r>
        <w:t xml:space="preserve">The Banker named on this Invoice, Mr. Emre Kaya, holds a valid professional license issued by the Capital Markets Board of Turkey (SPK) and is authorized to provide all services listed herein within the jurisdiction of Turkey Istanbul.</w:t>
      </w:r>
    </w:p>
    <w:p>
      <w:pPr>
        <w:numPr>
          <w:ilvl w:val="0"/>
          <w:numId w:val="1001"/>
        </w:numPr>
        <w:pStyle w:val="Compact"/>
      </w:pPr>
      <w:r>
        <w:t xml:space="preserve">All banking services described in this Invoice are subject to the client's acceptance of the Master Banking Services Agreement (MBSA) dated 01 January 2025, executed in Turkey Istanbul.</w:t>
      </w:r>
    </w:p>
    <w:p>
      <w:pPr>
        <w:numPr>
          <w:ilvl w:val="0"/>
          <w:numId w:val="1001"/>
        </w:numPr>
        <w:pStyle w:val="Compact"/>
      </w:pPr>
      <w:r>
        <w:t xml:space="preserve">The Banker shall maintain full confidentiality of all client financial data in compliance with the Turkish Personal Data Protection Law (KVKK – Law No. 6698) and applicable EU data transfer regulations where applicable.</w:t>
      </w:r>
    </w:p>
    <w:p>
      <w:pPr>
        <w:numPr>
          <w:ilvl w:val="0"/>
          <w:numId w:val="1001"/>
        </w:numPr>
        <w:pStyle w:val="Compact"/>
      </w:pPr>
      <w:r>
        <w:t xml:space="preserve">Any disputes arising from this Invoice or the underlying banking services shall be resolved by the Istanbul Arbitration Institute (ISTAC) seated in Turkey Istanbul, in accordance with its arbitration rules.</w:t>
      </w:r>
    </w:p>
    <w:p>
      <w:pPr>
        <w:numPr>
          <w:ilvl w:val="0"/>
          <w:numId w:val="1001"/>
        </w:numPr>
        <w:pStyle w:val="Compact"/>
      </w:pPr>
      <w:r>
        <w:t xml:space="preserve">This Invoice constitutes a legally binding document under Turkish law. The Banker reserves the right to suspend services upon non-payment beyond the due date specified above.</w:t>
      </w:r>
    </w:p>
    <w:p>
      <w:pPr>
        <w:numPr>
          <w:ilvl w:val="0"/>
          <w:numId w:val="1001"/>
        </w:numPr>
        <w:pStyle w:val="Compact"/>
      </w:pPr>
      <w:r>
        <w:t xml:space="preserve">All amounts are denominated in Turkish Lira (TRY). In the event of significant currency fluctuation, the Banker may issue a supplementary Invoice to adjust for regulatory rate changes mandated by the Central Bank of the Republic of Turkey (TCMB).</w:t>
      </w:r>
    </w:p>
    <w:bookmarkEnd w:id="26"/>
    <w:p>
      <w:pPr>
        <w:pStyle w:val="FirstParagraph"/>
      </w:pPr>
      <w:r>
        <w:t xml:space="preserve">AUTHORIZED SIGNATURE – BANKER</w:t>
      </w:r>
      <w:r>
        <w:br/>
      </w:r>
      <w:r>
        <w:t xml:space="preserve">Mr. Emre Kaya, Senior Banker &amp; Managing Director</w:t>
      </w:r>
      <w:r>
        <w:br/>
      </w:r>
      <w:r>
        <w:t xml:space="preserve">Meridian Banking Advisory Group – Turkey Istanbul</w:t>
      </w:r>
      <w:r>
        <w:br/>
      </w:r>
      <w:r>
        <w:t xml:space="preserve">Date: 15 June 2025</w:t>
      </w:r>
    </w:p>
    <w:p>
      <w:pPr>
        <w:pStyle w:val="BodyText"/>
      </w:pPr>
      <w:r>
        <w:t xml:space="preserve">This Invoice was generated electronically and is valid without a physical stamp or signature in accordance with Turkish Electronic Commerce Law (Law No. 6563).</w:t>
      </w:r>
    </w:p>
    <w:p>
      <w:pPr>
        <w:pStyle w:val="BodyText"/>
      </w:pPr>
      <w:r>
        <w:t xml:space="preserve">Meridian Banking Advisory Group | Banker &amp; Financial Services | Levent, Istanbul, Turkey | www.meridianbanker.com.tr</w:t>
      </w:r>
    </w:p>
    <w:p>
      <w:pPr>
        <w:pStyle w:val="BodyText"/>
      </w:pPr>
      <w:r>
        <w:t xml:space="preserve">Document Reference: INV-MBG-2025-IST-04872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Turkey Istanbul</dc:title>
  <dc:creator/>
  <dc:language>en</dc:language>
  <cp:keywords/>
  <dcterms:created xsi:type="dcterms:W3CDTF">2026-10-10T11:30:50Z</dcterms:created>
  <dcterms:modified xsi:type="dcterms:W3CDTF">2026-10-10T11:30:50Z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