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Invoice</w:t>
      </w:r>
    </w:p>
    <w:p>
      <w:pPr>
        <w:pStyle w:val="BodyText"/>
      </w:pPr>
      <w:r>
        <w:t xml:space="preserve">Banker Professional Services</w:t>
      </w:r>
    </w:p>
    <w:bookmarkStart w:id="20" w:name="invoice-no-inv-ad-2025-04871"/>
    <w:p>
      <w:pPr>
        <w:pStyle w:val="Heading3"/>
      </w:pPr>
      <w:r>
        <w:t xml:space="preserve">Invoice No: INV-AD-2025-04871</w:t>
      </w:r>
    </w:p>
    <w:p>
      <w:pPr>
        <w:pStyle w:val="FirstParagraph"/>
      </w:pPr>
      <w:r>
        <w:t xml:space="preserve">Invoice Date: 15 June 2025</w:t>
      </w:r>
    </w:p>
    <w:p>
      <w:pPr>
        <w:pStyle w:val="BodyText"/>
      </w:pPr>
      <w:r>
        <w:t xml:space="preserve">Due Date: 15 July 2025</w:t>
      </w:r>
    </w:p>
    <w:p>
      <w:pPr>
        <w:pStyle w:val="BodyText"/>
      </w:pPr>
      <w:r>
        <w:t xml:space="preserve">Payment Terms: Net 30 Days</w:t>
      </w:r>
    </w:p>
    <w:p>
      <w:pPr>
        <w:pStyle w:val="BodyText"/>
      </w:pPr>
      <w:r>
        <w:t xml:space="preserve">Currency: AED (United Arab Emirates Dirham)</w:t>
      </w:r>
    </w:p>
    <w:bookmarkEnd w:id="20"/>
    <w:bookmarkStart w:id="21" w:name="issued-by-banker"/>
    <w:p>
      <w:pPr>
        <w:pStyle w:val="Heading4"/>
      </w:pPr>
      <w:r>
        <w:t xml:space="preserve">Issued By (Banker)</w:t>
      </w:r>
    </w:p>
    <w:p>
      <w:pPr>
        <w:pStyle w:val="FirstParagraph"/>
      </w:pPr>
      <w:r>
        <w:rPr>
          <w:bCs/>
          <w:b/>
        </w:rPr>
        <w:t xml:space="preserve">Al Maktoum Financial Advisory LLC</w:t>
      </w:r>
    </w:p>
    <w:p>
      <w:pPr>
        <w:pStyle w:val="BodyText"/>
      </w:pPr>
      <w:r>
        <w:t xml:space="preserve">Attn: Mr. Khalid bin Rashid Al Nuaimi, Senior Banker</w:t>
      </w:r>
    </w:p>
    <w:p>
      <w:pPr>
        <w:pStyle w:val="BodyText"/>
      </w:pPr>
      <w:r>
        <w:t xml:space="preserve">Office 1204, Level 12, Etihad Towers</w:t>
      </w:r>
    </w:p>
    <w:p>
      <w:pPr>
        <w:pStyle w:val="BodyText"/>
      </w:pPr>
      <w:r>
        <w:t xml:space="preserve">Sheikh Zayed Road, Abu Dhabi</w:t>
      </w:r>
    </w:p>
    <w:p>
      <w:pPr>
        <w:pStyle w:val="BodyText"/>
      </w:pPr>
      <w:r>
        <w:t xml:space="preserve">United Arab Emirates</w:t>
      </w:r>
    </w:p>
    <w:p>
      <w:pPr>
        <w:pStyle w:val="BodyText"/>
      </w:pPr>
      <w:r>
        <w:t xml:space="preserve">Tax Registration No: TRN-100456789</w:t>
      </w:r>
    </w:p>
    <w:p>
      <w:pPr>
        <w:pStyle w:val="BodyText"/>
      </w:pPr>
      <w:r>
        <w:t xml:space="preserve">License No: AD-BA-2019-00342</w:t>
      </w:r>
    </w:p>
    <w:p>
      <w:pPr>
        <w:pStyle w:val="BodyText"/>
      </w:pPr>
      <w:r>
        <w:t xml:space="preserve">Email: k.alnuaimi@almaktoufina.ae</w:t>
      </w:r>
    </w:p>
    <w:p>
      <w:pPr>
        <w:pStyle w:val="BodyText"/>
      </w:pPr>
      <w:r>
        <w:t xml:space="preserve">Phone: +971 2 445 6789</w:t>
      </w:r>
    </w:p>
    <w:bookmarkEnd w:id="21"/>
    <w:bookmarkStart w:id="22" w:name="bill-to-client"/>
    <w:p>
      <w:pPr>
        <w:pStyle w:val="Heading4"/>
      </w:pPr>
      <w:r>
        <w:t xml:space="preserve">Bill To (Client)</w:t>
      </w:r>
    </w:p>
    <w:p>
      <w:pPr>
        <w:pStyle w:val="FirstParagraph"/>
      </w:pPr>
      <w:r>
        <w:rPr>
          <w:bCs/>
          <w:b/>
        </w:rPr>
        <w:t xml:space="preserve">Desert Rose Hospitality Group FZE</w:t>
      </w:r>
    </w:p>
    <w:p>
      <w:pPr>
        <w:pStyle w:val="BodyText"/>
      </w:pPr>
      <w:r>
        <w:t xml:space="preserve">Attn: Ms. Fatima Al Zaabi, Chief Financial Officer</w:t>
      </w:r>
    </w:p>
    <w:p>
      <w:pPr>
        <w:pStyle w:val="BodyText"/>
      </w:pPr>
      <w:r>
        <w:t xml:space="preserve">Plot 45, Al Maryah Island</w:t>
      </w:r>
    </w:p>
    <w:p>
      <w:pPr>
        <w:pStyle w:val="BodyText"/>
      </w:pPr>
      <w:r>
        <w:t xml:space="preserve">Abu Dhabi, United Arab Emirates</w:t>
      </w:r>
    </w:p>
    <w:p>
      <w:pPr>
        <w:pStyle w:val="BodyText"/>
      </w:pPr>
      <w:r>
        <w:t xml:space="preserve">Tax Registration No: TRN-100987654</w:t>
      </w:r>
    </w:p>
    <w:p>
      <w:pPr>
        <w:pStyle w:val="BodyText"/>
      </w:pPr>
      <w:r>
        <w:t xml:space="preserve">Commercial Registration: CR-AD-2021-11203</w:t>
      </w:r>
    </w:p>
    <w:p>
      <w:pPr>
        <w:pStyle w:val="BodyText"/>
      </w:pPr>
      <w:r>
        <w:t xml:space="preserve">Email: f.alzaabi@desertrose.ae</w:t>
      </w:r>
    </w:p>
    <w:p>
      <w:pPr>
        <w:pStyle w:val="BodyText"/>
      </w:pPr>
      <w:r>
        <w:t xml:space="preserve">Phone: +971 2 667 8901</w:t>
      </w:r>
    </w:p>
    <w:bookmarkEnd w:id="22"/>
    <w:bookmarkStart w:id="25" w:name="description-of-banker-services-rendered"/>
    <w:p>
      <w:pPr>
        <w:pStyle w:val="Heading3"/>
      </w:pPr>
      <w:r>
        <w:t xml:space="preserve">Description of Banker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(AED)</w:t>
            </w:r>
          </w:p>
        </w:tc>
        <w:tc>
          <w:tcPr/>
          <w:p>
            <w:pPr>
              <w:pStyle w:val="Compact"/>
              <w:jc w:val="left"/>
            </w:pPr>
            <w:r>
              <w:t xml:space="preserve">Qty</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Comprehensive corporate banking advisory and treasury management consultation for multi-currency operations in Abu Dhabi</w:t>
            </w:r>
          </w:p>
        </w:tc>
        <w:tc>
          <w:tcPr/>
          <w:p>
            <w:pPr>
              <w:pStyle w:val="Compact"/>
              <w:jc w:val="left"/>
            </w:pPr>
            <w:r>
              <w:t xml:space="preserve">Jan – Jun 2025</w:t>
            </w:r>
          </w:p>
        </w:tc>
        <w:tc>
          <w:tcPr/>
          <w:p>
            <w:pPr>
              <w:pStyle w:val="Compact"/>
              <w:jc w:val="left"/>
            </w:pPr>
            <w:r>
              <w:t xml:space="preserve">12,500.00</w:t>
            </w:r>
          </w:p>
        </w:tc>
        <w:tc>
          <w:tcPr/>
          <w:p>
            <w:pPr>
              <w:pStyle w:val="Compact"/>
              <w:jc w:val="left"/>
            </w:pPr>
            <w:r>
              <w:t xml:space="preserve">6</w:t>
            </w:r>
          </w:p>
        </w:tc>
        <w:tc>
          <w:tcPr/>
          <w:p>
            <w:pPr>
              <w:pStyle w:val="Compact"/>
              <w:jc w:val="left"/>
            </w:pPr>
            <w:r>
              <w:t xml:space="preserve">75,000.00</w:t>
            </w:r>
          </w:p>
        </w:tc>
      </w:tr>
      <w:tr>
        <w:tc>
          <w:tcPr/>
          <w:p>
            <w:pPr>
              <w:pStyle w:val="Compact"/>
              <w:jc w:val="left"/>
            </w:pPr>
            <w:r>
              <w:t xml:space="preserve">02</w:t>
            </w:r>
          </w:p>
        </w:tc>
        <w:tc>
          <w:tcPr/>
          <w:p>
            <w:pPr>
              <w:pStyle w:val="Compact"/>
              <w:jc w:val="left"/>
            </w:pPr>
            <w:r>
              <w:t xml:space="preserve">Structured finance arrangement and syndicated loan facilitation with UAE-based commercial banks for hospitality expansion project</w:t>
            </w:r>
          </w:p>
        </w:tc>
        <w:tc>
          <w:tcPr/>
          <w:p>
            <w:pPr>
              <w:pStyle w:val="Compact"/>
              <w:jc w:val="left"/>
            </w:pPr>
            <w:r>
              <w:t xml:space="preserve">Feb 2025</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Foreign exchange risk hedging strategy design and implementation for international revenue streams (USD, EUR, GBP)</w:t>
            </w:r>
          </w:p>
        </w:tc>
        <w:tc>
          <w:tcPr/>
          <w:p>
            <w:pPr>
              <w:pStyle w:val="Compact"/>
              <w:jc w:val="left"/>
            </w:pPr>
            <w:r>
              <w:t xml:space="preserve">Mar – May 2025</w:t>
            </w:r>
          </w:p>
        </w:tc>
        <w:tc>
          <w:tcPr/>
          <w:p>
            <w:pPr>
              <w:pStyle w:val="Compact"/>
              <w:jc w:val="left"/>
            </w:pPr>
            <w:r>
              <w:t xml:space="preserve">8,750.00</w:t>
            </w:r>
          </w:p>
        </w:tc>
        <w:tc>
          <w:tcPr/>
          <w:p>
            <w:pPr>
              <w:pStyle w:val="Compact"/>
              <w:jc w:val="left"/>
            </w:pPr>
            <w:r>
              <w:t xml:space="preserve">3</w:t>
            </w:r>
          </w:p>
        </w:tc>
        <w:tc>
          <w:tcPr/>
          <w:p>
            <w:pPr>
              <w:pStyle w:val="Compact"/>
              <w:jc w:val="left"/>
            </w:pPr>
            <w:r>
              <w:t xml:space="preserve">26,250.00</w:t>
            </w:r>
          </w:p>
        </w:tc>
      </w:tr>
      <w:tr>
        <w:tc>
          <w:tcPr/>
          <w:p>
            <w:pPr>
              <w:pStyle w:val="Compact"/>
              <w:jc w:val="left"/>
            </w:pPr>
            <w:r>
              <w:t xml:space="preserve">04</w:t>
            </w:r>
          </w:p>
        </w:tc>
        <w:tc>
          <w:tcPr/>
          <w:p>
            <w:pPr>
              <w:pStyle w:val="Compact"/>
              <w:jc w:val="left"/>
            </w:pPr>
            <w:r>
              <w:t xml:space="preserve">Regulatory compliance review and Central Bank of the UAE (CBUAE) reporting preparation for the fiscal year 2024–2025</w:t>
            </w:r>
          </w:p>
        </w:tc>
        <w:tc>
          <w:tcPr/>
          <w:p>
            <w:pPr>
              <w:pStyle w:val="Compact"/>
              <w:jc w:val="left"/>
            </w:pPr>
            <w:r>
              <w:t xml:space="preserve">Apr 2025</w:t>
            </w:r>
          </w:p>
        </w:tc>
        <w:tc>
          <w:tcPr/>
          <w:p>
            <w:pPr>
              <w:pStyle w:val="Compact"/>
              <w:jc w:val="left"/>
            </w:pPr>
            <w:r>
              <w:t xml:space="preserve">18,000.00</w:t>
            </w:r>
          </w:p>
        </w:tc>
        <w:tc>
          <w:tcPr/>
          <w:p>
            <w:pPr>
              <w:pStyle w:val="Compact"/>
              <w:jc w:val="left"/>
            </w:pPr>
            <w:r>
              <w:t xml:space="preserve">1</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Working capital optimization and cash flow forecasting services tailored to Abu Dhabi market conditions</w:t>
            </w:r>
          </w:p>
        </w:tc>
        <w:tc>
          <w:tcPr/>
          <w:p>
            <w:pPr>
              <w:pStyle w:val="Compact"/>
              <w:jc w:val="left"/>
            </w:pPr>
            <w:r>
              <w:t xml:space="preserve">Jan – Jun 2025</w:t>
            </w:r>
          </w:p>
        </w:tc>
        <w:tc>
          <w:tcPr/>
          <w:p>
            <w:pPr>
              <w:pStyle w:val="Compact"/>
              <w:jc w:val="left"/>
            </w:pPr>
            <w:r>
              <w:t xml:space="preserve">6,200.00</w:t>
            </w:r>
          </w:p>
        </w:tc>
        <w:tc>
          <w:tcPr/>
          <w:p>
            <w:pPr>
              <w:pStyle w:val="Compact"/>
              <w:jc w:val="left"/>
            </w:pPr>
            <w:r>
              <w:t xml:space="preserve">6</w:t>
            </w:r>
          </w:p>
        </w:tc>
        <w:tc>
          <w:tcPr/>
          <w:p>
            <w:pPr>
              <w:pStyle w:val="Compact"/>
              <w:jc w:val="left"/>
            </w:pPr>
            <w:r>
              <w:t xml:space="preserve">37,200.00</w:t>
            </w:r>
          </w:p>
        </w:tc>
      </w:tr>
      <w:tr>
        <w:tc>
          <w:tcPr/>
          <w:p>
            <w:pPr>
              <w:pStyle w:val="Compact"/>
              <w:jc w:val="left"/>
            </w:pPr>
            <w:r>
              <w:t xml:space="preserve">06</w:t>
            </w:r>
          </w:p>
        </w:tc>
        <w:tc>
          <w:tcPr/>
          <w:p>
            <w:pPr>
              <w:pStyle w:val="Compact"/>
              <w:jc w:val="left"/>
            </w:pPr>
            <w:r>
              <w:t xml:space="preserve">Board-level financial presentation and banker-client relationship management with primary lending institutions in the United Arab Emirates</w:t>
            </w:r>
          </w:p>
        </w:tc>
        <w:tc>
          <w:tcPr/>
          <w:p>
            <w:pPr>
              <w:pStyle w:val="Compact"/>
              <w:jc w:val="left"/>
            </w:pPr>
            <w:r>
              <w:t xml:space="preserve">May 2025</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Trade finance advisory including letters of credit, bank guarantees, and documentary collections for import/export operations</w:t>
            </w:r>
          </w:p>
        </w:tc>
        <w:tc>
          <w:tcPr/>
          <w:p>
            <w:pPr>
              <w:pStyle w:val="Compact"/>
              <w:jc w:val="left"/>
            </w:pPr>
            <w:r>
              <w:t xml:space="preserve">Jan – Jun 2025</w:t>
            </w:r>
          </w:p>
        </w:tc>
        <w:tc>
          <w:tcPr/>
          <w:p>
            <w:pPr>
              <w:pStyle w:val="Compact"/>
              <w:jc w:val="left"/>
            </w:pPr>
            <w:r>
              <w:t xml:space="preserve">4,500.00</w:t>
            </w:r>
          </w:p>
        </w:tc>
        <w:tc>
          <w:tcPr/>
          <w:p>
            <w:pPr>
              <w:pStyle w:val="Compact"/>
              <w:jc w:val="left"/>
            </w:pPr>
            <w:r>
              <w:t xml:space="preserve">6</w:t>
            </w:r>
          </w:p>
        </w:tc>
        <w:tc>
          <w:tcPr/>
          <w:p>
            <w:pPr>
              <w:pStyle w:val="Compact"/>
              <w:jc w:val="left"/>
            </w:pPr>
            <w:r>
              <w:t xml:space="preserve">27,000.00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243,450.00 AED</w:t>
            </w:r>
          </w:p>
        </w:tc>
      </w:tr>
      <w:tr>
        <w:tc>
          <w:tcPr/>
          <w:p>
            <w:pPr>
              <w:pStyle w:val="Compact"/>
              <w:jc w:val="left"/>
            </w:pPr>
            <w:r>
              <w:t xml:space="preserve">VAT (5% – United Arab Emirates)</w:t>
            </w:r>
          </w:p>
        </w:tc>
        <w:tc>
          <w:tcPr/>
          <w:p>
            <w:pPr>
              <w:pStyle w:val="Compact"/>
              <w:jc w:val="right"/>
            </w:pPr>
            <w:r>
              <w:t xml:space="preserve">12,172.50 AED</w:t>
            </w:r>
          </w:p>
        </w:tc>
      </w:tr>
      <w:tr>
        <w:tc>
          <w:tcPr/>
          <w:p>
            <w:pPr>
              <w:pStyle w:val="Compact"/>
              <w:jc w:val="left"/>
            </w:pPr>
            <w:r>
              <w:t xml:space="preserve">Banker Service Surcharge (2%)</w:t>
            </w:r>
          </w:p>
        </w:tc>
        <w:tc>
          <w:tcPr/>
          <w:p>
            <w:pPr>
              <w:pStyle w:val="Compact"/>
              <w:jc w:val="right"/>
            </w:pPr>
            <w:r>
              <w:t xml:space="preserve">4,869.00 AED</w:t>
            </w:r>
          </w:p>
        </w:tc>
      </w:tr>
      <w:tr>
        <w:tc>
          <w:tcPr/>
          <w:p>
            <w:pPr>
              <w:pStyle w:val="Compact"/>
              <w:jc w:val="left"/>
            </w:pPr>
            <w:r>
              <w:t xml:space="preserve">Discount – Long-term Client (3%)</w:t>
            </w:r>
          </w:p>
        </w:tc>
        <w:tc>
          <w:tcPr/>
          <w:p>
            <w:pPr>
              <w:pStyle w:val="Compact"/>
              <w:jc w:val="right"/>
            </w:pPr>
            <w:r>
              <w:t xml:space="preserve">(7,303.50) AED</w:t>
            </w:r>
          </w:p>
        </w:tc>
      </w:tr>
      <w:tr>
        <w:tc>
          <w:tcPr/>
          <w:p>
            <w:pPr>
              <w:pStyle w:val="Compact"/>
              <w:jc w:val="left"/>
            </w:pPr>
            <w:r>
              <w:t xml:space="preserve">Grand Total Due</w:t>
            </w:r>
          </w:p>
        </w:tc>
        <w:tc>
          <w:tcPr/>
          <w:p>
            <w:pPr>
              <w:pStyle w:val="Compact"/>
              <w:jc w:val="right"/>
            </w:pPr>
            <w:r>
              <w:t xml:space="preserve">253,188.00 AED</w:t>
            </w:r>
          </w:p>
        </w:tc>
      </w:tr>
    </w:tbl>
    <w:bookmarkStart w:id="23" w:name="X87216d808ec8862616c64cc18b6762c43803388"/>
    <w:p>
      <w:pPr>
        <w:pStyle w:val="Heading4"/>
      </w:pPr>
      <w:r>
        <w:t xml:space="preserve">Payment Instructions – United Arab Emirates Abu Dhabi</w:t>
      </w:r>
    </w:p>
    <w:p>
      <w:pPr>
        <w:pStyle w:val="FirstParagraph"/>
      </w:pPr>
      <w:r>
        <w:rPr>
          <w:bCs/>
          <w:b/>
        </w:rPr>
        <w:t xml:space="preserve">Bank:</w:t>
      </w:r>
      <w:r>
        <w:t xml:space="preserve"> </w:t>
      </w:r>
      <w:r>
        <w:t xml:space="preserve">First Abu Dhabi Bank (FAB), Al Maryah Island Branch</w:t>
      </w:r>
    </w:p>
    <w:p>
      <w:pPr>
        <w:pStyle w:val="BodyText"/>
      </w:pPr>
      <w:r>
        <w:rPr>
          <w:bCs/>
          <w:b/>
        </w:rPr>
        <w:t xml:space="preserve">Account Name:</w:t>
      </w:r>
      <w:r>
        <w:t xml:space="preserve"> </w:t>
      </w:r>
      <w:r>
        <w:t xml:space="preserve">Al Maktoum Financial Advisory LLC</w:t>
      </w:r>
    </w:p>
    <w:p>
      <w:pPr>
        <w:pStyle w:val="BodyText"/>
      </w:pPr>
      <w:r>
        <w:rPr>
          <w:bCs/>
          <w:b/>
        </w:rPr>
        <w:t xml:space="preserve">Account Number:</w:t>
      </w:r>
      <w:r>
        <w:t xml:space="preserve"> </w:t>
      </w:r>
      <w:r>
        <w:t xml:space="preserve">001-0123-4567890-123</w:t>
      </w:r>
    </w:p>
    <w:p>
      <w:pPr>
        <w:pStyle w:val="BodyText"/>
      </w:pPr>
      <w:r>
        <w:rPr>
          <w:bCs/>
          <w:b/>
        </w:rPr>
        <w:t xml:space="preserve">IBAN:</w:t>
      </w:r>
      <w:r>
        <w:t xml:space="preserve"> </w:t>
      </w:r>
      <w:r>
        <w:t xml:space="preserve">AE0700000000123456789012</w:t>
      </w:r>
    </w:p>
    <w:p>
      <w:pPr>
        <w:pStyle w:val="BodyText"/>
      </w:pPr>
      <w:r>
        <w:rPr>
          <w:bCs/>
          <w:b/>
        </w:rPr>
        <w:t xml:space="preserve">SWIFT/BIC:</w:t>
      </w:r>
      <w:r>
        <w:t xml:space="preserve"> </w:t>
      </w:r>
      <w:r>
        <w:t xml:space="preserve">FABDAEAD</w:t>
      </w:r>
    </w:p>
    <w:p>
      <w:pPr>
        <w:pStyle w:val="BodyText"/>
      </w:pPr>
      <w:r>
        <w:rPr>
          <w:bCs/>
          <w:b/>
        </w:rPr>
        <w:t xml:space="preserve">Reference:</w:t>
      </w:r>
      <w:r>
        <w:t xml:space="preserve"> </w:t>
      </w:r>
      <w:r>
        <w:t xml:space="preserve">INV-AD-2025-04871</w:t>
      </w:r>
    </w:p>
    <w:p>
      <w:pPr>
        <w:pStyle w:val="BodyText"/>
      </w:pPr>
      <w:r>
        <w:rPr>
          <w:bCs/>
          <w:b/>
        </w:rPr>
        <w:t xml:space="preserve">Payment Method:</w:t>
      </w:r>
      <w:r>
        <w:t xml:space="preserve"> </w:t>
      </w:r>
      <w:r>
        <w:t xml:space="preserve">Bank Transfer (AED) or Cheque payable to Al Maktoum Financial Advisory LLC</w:t>
      </w:r>
    </w:p>
    <w:p>
      <w:pPr>
        <w:pStyle w:val="BodyText"/>
      </w:pPr>
      <w:r>
        <w:rPr>
          <w:bCs/>
          <w:b/>
        </w:rPr>
        <w:t xml:space="preserve">Remittance Address:</w:t>
      </w:r>
      <w:r>
        <w:t xml:space="preserve"> </w:t>
      </w:r>
      <w:r>
        <w:t xml:space="preserve">P.O. Box 45210, Abu Dhabi, United Arab Emirates</w:t>
      </w:r>
    </w:p>
    <w:bookmarkEnd w:id="23"/>
    <w:bookmarkStart w:id="24" w:name="important-notes-terms"/>
    <w:p>
      <w:pPr>
        <w:pStyle w:val="Heading4"/>
      </w:pPr>
      <w:r>
        <w:t xml:space="preserve">Important Notes &amp; Terms</w:t>
      </w:r>
    </w:p>
    <w:p>
      <w:pPr>
        <w:pStyle w:val="FirstParagraph"/>
      </w:pPr>
      <w:r>
        <w:t xml:space="preserve">1. This Invoice is issued by a licensed Banker operating under the regulatory framework of the Central Bank of the United Arab Emirates and the Abu Dhabi Department of Economic Development. All services rendered are subject to the UAE Commercial Transactions Law (Federal Law No. 18 of 1993).</w:t>
      </w:r>
    </w:p>
    <w:p>
      <w:pPr>
        <w:pStyle w:val="BodyText"/>
      </w:pPr>
      <w:r>
        <w:t xml:space="preserve">2. Payment is due within thirty (30) calendar days from the Invoice date. A late payment penalty of 1.5% per month shall apply to any outstanding balance after the due date, in accordance with UAE commercial practice.</w:t>
      </w:r>
    </w:p>
    <w:p>
      <w:pPr>
        <w:pStyle w:val="BodyText"/>
      </w:pPr>
      <w:r>
        <w:t xml:space="preserve">3. All amounts stated in this Invoice are in United Arab Emirates Dirhams (AED). The Banker reserves the right to adjust foreign exchange-linked fees based on the Central Bank of the UAE reference rates prevailing on the date of service delivery.</w:t>
      </w:r>
    </w:p>
    <w:p>
      <w:pPr>
        <w:pStyle w:val="BodyText"/>
      </w:pPr>
      <w:r>
        <w:t xml:space="preserve">4. This Invoice covers professional banker services exclusively. It does not constitute a guarantee of financial returns, investment performance, or loan approval by any lending institution in Abu Dhabi or elsewhere in the United Arab Emirates.</w:t>
      </w:r>
    </w:p>
    <w:p>
      <w:pPr>
        <w:pStyle w:val="BodyText"/>
      </w:pPr>
      <w:r>
        <w:t xml:space="preserve">5. The client acknowledges that the Banker has provided all advisory services in compliance with the UAE Anti-Money Laundering Law (Federal Decree-Law No. 20 of 2018) and applicable AML/CFT regulations enforced by the Abu Dhabi Financial Intelligence Unit.</w:t>
      </w:r>
    </w:p>
    <w:p>
      <w:pPr>
        <w:pStyle w:val="BodyText"/>
      </w:pPr>
      <w:r>
        <w:t xml:space="preserve">6. Disputes arising from this Invoice shall be governed by the laws of the United Arab Emirates and shall be subject to the exclusive jurisdiction of the courts of Abu Dhabi, unless otherwise agreed in writing by both parties.</w:t>
      </w:r>
    </w:p>
    <w:p>
      <w:pPr>
        <w:pStyle w:val="BodyText"/>
      </w:pPr>
      <w:r>
        <w:t xml:space="preserve">7. This Invoice is valid for a period of ninety (90) days from the date of issue. After this period, the Banker reserves the right to reissue the Invoice with updated rates and applicable charges.</w:t>
      </w:r>
    </w:p>
    <w:bookmarkEnd w:id="24"/>
    <w:p>
      <w:pPr>
        <w:pStyle w:val="BodyText"/>
      </w:pPr>
      <w:r>
        <w:t xml:space="preserve">This Invoice was prepared and issued by Al Maktoum Financial Advisory LLC, a registered Banker services firm in Abu Dhabi, United Arab Emirates.</w:t>
      </w:r>
    </w:p>
    <w:p>
      <w:pPr>
        <w:pStyle w:val="BodyText"/>
      </w:pPr>
      <w:r>
        <w:t xml:space="preserve">Document Reference: INV-AD-2025-04871 | Generated: 15 June 2025 | Page 1 of 1</w:t>
      </w:r>
    </w:p>
    <w:p>
      <w:pPr>
        <w:pStyle w:val="BodyText"/>
      </w:pPr>
      <w:r>
        <w:t xml:space="preserve">Thank you for your business. We value our partnership and look forward to continuing to serve your financial needs in Abu Dhabi and across the United Arab Emirates.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United Arab Emirates Abu Dhabi</dc:title>
  <dc:creator/>
  <dc:language>en</dc:language>
  <cp:keywords/>
  <dcterms:created xsi:type="dcterms:W3CDTF">2026-10-10T08:09:32Z</dcterms:created>
  <dcterms:modified xsi:type="dcterms:W3CDTF">2026-10-10T08:09:32Z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