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Banking</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emirates-premier-banking-services-llc"/>
    <w:p>
      <w:pPr>
        <w:pStyle w:val="Heading1"/>
      </w:pPr>
      <w:r>
        <w:t xml:space="preserve">Emirates Premier Banking Services LLC</w:t>
      </w:r>
    </w:p>
    <w:p>
      <w:pPr>
        <w:pStyle w:val="FirstParagraph"/>
      </w:pPr>
      <w:r>
        <w:t xml:space="preserve">Office 1204, Level 12, Dubai Financial Centre</w:t>
      </w:r>
    </w:p>
    <w:p>
      <w:pPr>
        <w:pStyle w:val="BodyText"/>
      </w:pPr>
      <w:r>
        <w:t xml:space="preserve">Tower 1, Sheikh Zayed Road, Dubai, United Arab Emirates</w:t>
      </w:r>
    </w:p>
    <w:p>
      <w:pPr>
        <w:pStyle w:val="BodyText"/>
      </w:pPr>
      <w:r>
        <w:t xml:space="preserve">Tel: +971 4 555 8920 | Email: billing@emiratespremier.ae</w:t>
      </w:r>
    </w:p>
    <w:p>
      <w:pPr>
        <w:pStyle w:val="BodyText"/>
      </w:pPr>
      <w:r>
        <w:t xml:space="preserve">Trade License No: 1045872 | TRN: 100458720100003</w:t>
      </w:r>
    </w:p>
    <w:bookmarkEnd w:id="20"/>
    <w:bookmarkStart w:id="21" w:name="invoice"/>
    <w:p>
      <w:pPr>
        <w:pStyle w:val="Heading2"/>
      </w:pPr>
      <w:r>
        <w:t xml:space="preserve">INVOICE</w:t>
      </w:r>
    </w:p>
    <w:p>
      <w:pPr>
        <w:pStyle w:val="FirstParagraph"/>
      </w:pPr>
      <w:r>
        <w:t xml:space="preserve">Invoice No: EBS-2025-04871</w:t>
      </w:r>
    </w:p>
    <w:p>
      <w:pPr>
        <w:pStyle w:val="BodyText"/>
      </w:pPr>
      <w:r>
        <w:t xml:space="preserve">Date of Issue: 15 June 2025</w:t>
      </w:r>
    </w:p>
    <w:p>
      <w:pPr>
        <w:pStyle w:val="BodyText"/>
      </w:pPr>
      <w:r>
        <w:t xml:space="preserve">Due Date: 15 July 2025</w:t>
      </w:r>
    </w:p>
    <w:p>
      <w:pPr>
        <w:pStyle w:val="BodyText"/>
      </w:pPr>
      <w:r>
        <w:t xml:space="preserve">Banker Services</w:t>
      </w:r>
    </w:p>
    <w:bookmarkEnd w:id="21"/>
    <w:bookmarkStart w:id="22" w:name="billed-to-client"/>
    <w:p>
      <w:pPr>
        <w:pStyle w:val="Heading3"/>
      </w:pPr>
      <w:r>
        <w:t xml:space="preserve">Billed To (Client)</w:t>
      </w:r>
    </w:p>
    <w:p>
      <w:pPr>
        <w:pStyle w:val="FirstParagraph"/>
      </w:pPr>
      <w:r>
        <w:t xml:space="preserve">Company:</w:t>
      </w:r>
      <w:r>
        <w:t xml:space="preserve"> </w:t>
      </w:r>
      <w:r>
        <w:t xml:space="preserve">Al Noor Trading &amp; Logistics FZE</w:t>
      </w:r>
    </w:p>
    <w:p>
      <w:pPr>
        <w:pStyle w:val="BodyText"/>
      </w:pPr>
      <w:r>
        <w:t xml:space="preserve">Address:</w:t>
      </w:r>
      <w:r>
        <w:t xml:space="preserve"> </w:t>
      </w:r>
      <w:r>
        <w:t xml:space="preserve">Jebel Ali Free Zone, Plot 45, Building C, Dubai, United Arab Emirates</w:t>
      </w:r>
    </w:p>
    <w:p>
      <w:pPr>
        <w:pStyle w:val="BodyText"/>
      </w:pPr>
      <w:r>
        <w:t xml:space="preserve">Contact Person:</w:t>
      </w:r>
      <w:r>
        <w:t xml:space="preserve"> </w:t>
      </w:r>
      <w:r>
        <w:t xml:space="preserve">Mr. Khalid Al Mansoori</w:t>
      </w:r>
    </w:p>
    <w:p>
      <w:pPr>
        <w:pStyle w:val="BodyText"/>
      </w:pPr>
      <w:r>
        <w:t xml:space="preserve">Email:</w:t>
      </w:r>
      <w:r>
        <w:t xml:space="preserve"> </w:t>
      </w:r>
      <w:r>
        <w:t xml:space="preserve">finance@alnoortrading.ae</w:t>
      </w:r>
    </w:p>
    <w:p>
      <w:pPr>
        <w:pStyle w:val="BodyText"/>
      </w:pPr>
      <w:r>
        <w:t xml:space="preserve">Client Account No:</w:t>
      </w:r>
      <w:r>
        <w:t xml:space="preserve"> </w:t>
      </w:r>
      <w:r>
        <w:t xml:space="preserve">AET-2024-77381</w:t>
      </w:r>
    </w:p>
    <w:bookmarkEnd w:id="22"/>
    <w:bookmarkStart w:id="23" w:name="banker-service-provider"/>
    <w:p>
      <w:pPr>
        <w:pStyle w:val="Heading3"/>
      </w:pPr>
      <w:r>
        <w:t xml:space="preserve">Banker / Service Provider</w:t>
      </w:r>
    </w:p>
    <w:p>
      <w:pPr>
        <w:pStyle w:val="FirstParagraph"/>
      </w:pPr>
      <w:r>
        <w:t xml:space="preserve">Lead Banker:</w:t>
      </w:r>
      <w:r>
        <w:t xml:space="preserve"> </w:t>
      </w:r>
      <w:r>
        <w:t xml:space="preserve">Ms. Fatima Al Rashidi, Senior Corporate Banker</w:t>
      </w:r>
    </w:p>
    <w:p>
      <w:pPr>
        <w:pStyle w:val="BodyText"/>
      </w:pPr>
      <w:r>
        <w:t xml:space="preserve">Department:</w:t>
      </w:r>
      <w:r>
        <w:t xml:space="preserve"> </w:t>
      </w:r>
      <w:r>
        <w:t xml:space="preserve">Corporate &amp; Institutional Banking Division</w:t>
      </w:r>
    </w:p>
    <w:p>
      <w:pPr>
        <w:pStyle w:val="BodyText"/>
      </w:pPr>
      <w:r>
        <w:t xml:space="preserve">License No:</w:t>
      </w:r>
      <w:r>
        <w:t xml:space="preserve"> </w:t>
      </w:r>
      <w:r>
        <w:t xml:space="preserve">UAE Central Bank License CB-2019-4452</w:t>
      </w:r>
    </w:p>
    <w:p>
      <w:pPr>
        <w:pStyle w:val="BodyText"/>
      </w:pPr>
      <w:r>
        <w:t xml:space="preserve">Banker Registration:</w:t>
      </w:r>
      <w:r>
        <w:t xml:space="preserve"> </w:t>
      </w:r>
      <w:r>
        <w:t xml:space="preserve">UAE Banking Sector Registry No. 8821</w:t>
      </w:r>
    </w:p>
    <w:p>
      <w:pPr>
        <w:pStyle w:val="BodyText"/>
      </w:pPr>
      <w:r>
        <w:t xml:space="preserve">Service Location:</w:t>
      </w:r>
      <w:r>
        <w:t xml:space="preserve"> </w:t>
      </w:r>
      <w:r>
        <w:t xml:space="preserve">Dubai, United Arab Emirates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Banking Service</w:t>
            </w:r>
          </w:p>
        </w:tc>
        <w:tc>
          <w:tcPr/>
          <w:p>
            <w:pPr>
              <w:pStyle w:val="Compact"/>
              <w:jc w:val="left"/>
            </w:pPr>
            <w:r>
              <w:t xml:space="preserve">Service Period</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Corporate Account Management &amp; Advisory – Ongoing management of multi-currency corporate accounts, liquidity planning, and treasury advisory services provided by the assigned Banker in Dubai, United Arab Emirates.</w:t>
            </w:r>
          </w:p>
        </w:tc>
        <w:tc>
          <w:tcPr/>
          <w:p>
            <w:pPr>
              <w:pStyle w:val="Compact"/>
              <w:jc w:val="left"/>
            </w:pPr>
            <w:r>
              <w:t xml:space="preserve">01 Jan 2025 – 31 May 2025</w:t>
            </w:r>
          </w:p>
        </w:tc>
        <w:tc>
          <w:tcPr/>
          <w:p>
            <w:pPr>
              <w:pStyle w:val="Compact"/>
              <w:jc w:val="left"/>
            </w:pPr>
            <w:r>
              <w:t xml:space="preserve">5 months</w:t>
            </w:r>
          </w:p>
        </w:tc>
        <w:tc>
          <w:tcPr/>
          <w:p>
            <w:pPr>
              <w:pStyle w:val="Compact"/>
              <w:jc w:val="left"/>
            </w:pPr>
            <w:r>
              <w:t xml:space="preserve">12,500.00</w:t>
            </w:r>
          </w:p>
        </w:tc>
        <w:tc>
          <w:tcPr/>
          <w:p>
            <w:pPr>
              <w:pStyle w:val="Compact"/>
              <w:jc w:val="left"/>
            </w:pPr>
            <w:r>
              <w:t xml:space="preserve">62,500.00</w:t>
            </w:r>
          </w:p>
        </w:tc>
      </w:tr>
      <w:tr>
        <w:tc>
          <w:tcPr/>
          <w:p>
            <w:pPr>
              <w:pStyle w:val="Compact"/>
              <w:jc w:val="left"/>
            </w:pPr>
            <w:r>
              <w:t xml:space="preserve">2</w:t>
            </w:r>
          </w:p>
        </w:tc>
        <w:tc>
          <w:tcPr/>
          <w:p>
            <w:pPr>
              <w:pStyle w:val="Compact"/>
              <w:jc w:val="left"/>
            </w:pPr>
            <w:r>
              <w:t xml:space="preserve">Trade Finance &amp; Letter of Credit Issuance – Processing and issuance of 14 Letters of Credit for import/export transactions facilitated by the Banker under UAE Central Bank trade finance regulations.</w:t>
            </w:r>
          </w:p>
        </w:tc>
        <w:tc>
          <w:tcPr/>
          <w:p>
            <w:pPr>
              <w:pStyle w:val="Compact"/>
              <w:jc w:val="left"/>
            </w:pPr>
            <w:r>
              <w:t xml:space="preserve">01 Jan 2025 – 31 May 2025</w:t>
            </w:r>
          </w:p>
        </w:tc>
        <w:tc>
          <w:tcPr/>
          <w:p>
            <w:pPr>
              <w:pStyle w:val="Compact"/>
              <w:jc w:val="left"/>
            </w:pPr>
            <w:r>
              <w:t xml:space="preserve">14 LCs</w:t>
            </w:r>
          </w:p>
        </w:tc>
        <w:tc>
          <w:tcPr/>
          <w:p>
            <w:pPr>
              <w:pStyle w:val="Compact"/>
              <w:jc w:val="left"/>
            </w:pPr>
            <w:r>
              <w:t xml:space="preserve">3,200.00</w:t>
            </w:r>
          </w:p>
        </w:tc>
        <w:tc>
          <w:tcPr/>
          <w:p>
            <w:pPr>
              <w:pStyle w:val="Compact"/>
              <w:jc w:val="left"/>
            </w:pPr>
            <w:r>
              <w:t xml:space="preserve">44,800.00</w:t>
            </w:r>
          </w:p>
        </w:tc>
      </w:tr>
      <w:tr>
        <w:tc>
          <w:tcPr/>
          <w:p>
            <w:pPr>
              <w:pStyle w:val="Compact"/>
              <w:jc w:val="left"/>
            </w:pPr>
            <w:r>
              <w:t xml:space="preserve">3</w:t>
            </w:r>
          </w:p>
        </w:tc>
        <w:tc>
          <w:tcPr/>
          <w:p>
            <w:pPr>
              <w:pStyle w:val="Compact"/>
              <w:jc w:val="left"/>
            </w:pPr>
            <w:r>
              <w:t xml:space="preserve">Foreign Exchange (FX) Hedging &amp; Currency Conversion – Execution of 38 spot and forward FX transactions to hedge the client's exposure to USD, EUR, and GBP, managed by the Banker's FX desk in Dubai.</w:t>
            </w:r>
          </w:p>
        </w:tc>
        <w:tc>
          <w:tcPr/>
          <w:p>
            <w:pPr>
              <w:pStyle w:val="Compact"/>
              <w:jc w:val="left"/>
            </w:pPr>
            <w:r>
              <w:t xml:space="preserve">01 Jan 2025 – 31 May 2025</w:t>
            </w:r>
          </w:p>
        </w:tc>
        <w:tc>
          <w:tcPr/>
          <w:p>
            <w:pPr>
              <w:pStyle w:val="Compact"/>
              <w:jc w:val="left"/>
            </w:pPr>
            <w:r>
              <w:t xml:space="preserve">38 txns</w:t>
            </w:r>
          </w:p>
        </w:tc>
        <w:tc>
          <w:tcPr/>
          <w:p>
            <w:pPr>
              <w:pStyle w:val="Compact"/>
              <w:jc w:val="left"/>
            </w:pPr>
            <w:r>
              <w:t xml:space="preserve">1,850.00</w:t>
            </w:r>
          </w:p>
        </w:tc>
        <w:tc>
          <w:tcPr/>
          <w:p>
            <w:pPr>
              <w:pStyle w:val="Compact"/>
              <w:jc w:val="left"/>
            </w:pPr>
            <w:r>
              <w:t xml:space="preserve">70,300.00</w:t>
            </w:r>
          </w:p>
        </w:tc>
      </w:tr>
      <w:tr>
        <w:tc>
          <w:tcPr/>
          <w:p>
            <w:pPr>
              <w:pStyle w:val="Compact"/>
              <w:jc w:val="left"/>
            </w:pPr>
            <w:r>
              <w:t xml:space="preserve">4</w:t>
            </w:r>
          </w:p>
        </w:tc>
        <w:tc>
          <w:tcPr/>
          <w:p>
            <w:pPr>
              <w:pStyle w:val="Compact"/>
              <w:jc w:val="left"/>
            </w:pPr>
            <w:r>
              <w:t xml:space="preserve">Working Capital Facility &amp; Overdraft Management – Administration of a revolving working capital facility of AED 15,000,000, including monthly interest calculations, drawdown processing, and covenant monitoring by the Banker.</w:t>
            </w:r>
          </w:p>
        </w:tc>
        <w:tc>
          <w:tcPr/>
          <w:p>
            <w:pPr>
              <w:pStyle w:val="Compact"/>
              <w:jc w:val="left"/>
            </w:pPr>
            <w:r>
              <w:t xml:space="preserve">01 Jan 2025 – 31 May 2025</w:t>
            </w:r>
          </w:p>
        </w:tc>
        <w:tc>
          <w:tcPr/>
          <w:p>
            <w:pPr>
              <w:pStyle w:val="Compact"/>
              <w:jc w:val="left"/>
            </w:pPr>
            <w:r>
              <w:t xml:space="preserve">5 months</w:t>
            </w:r>
          </w:p>
        </w:tc>
        <w:tc>
          <w:tcPr/>
          <w:p>
            <w:pPr>
              <w:pStyle w:val="Compact"/>
              <w:jc w:val="left"/>
            </w:pPr>
            <w:r>
              <w:t xml:space="preserve">8,750.00</w:t>
            </w:r>
          </w:p>
        </w:tc>
        <w:tc>
          <w:tcPr/>
          <w:p>
            <w:pPr>
              <w:pStyle w:val="Compact"/>
              <w:jc w:val="left"/>
            </w:pPr>
            <w:r>
              <w:t xml:space="preserve">43,750.00</w:t>
            </w:r>
          </w:p>
        </w:tc>
      </w:tr>
      <w:tr>
        <w:tc>
          <w:tcPr/>
          <w:p>
            <w:pPr>
              <w:pStyle w:val="Compact"/>
              <w:jc w:val="left"/>
            </w:pPr>
            <w:r>
              <w:t xml:space="preserve">5</w:t>
            </w:r>
          </w:p>
        </w:tc>
        <w:tc>
          <w:tcPr/>
          <w:p>
            <w:pPr>
              <w:pStyle w:val="Compact"/>
              <w:jc w:val="left"/>
            </w:pPr>
            <w:r>
              <w:t xml:space="preserve">Payroll Banking &amp; Salary Transfer Services – Monthly processing of salary transfers for 245 employees across the client's operations in Dubai and Sharjah, United Arab Emirates, handled through the Banker's payroll banking platform.</w:t>
            </w:r>
          </w:p>
        </w:tc>
        <w:tc>
          <w:tcPr/>
          <w:p>
            <w:pPr>
              <w:pStyle w:val="Compact"/>
              <w:jc w:val="left"/>
            </w:pPr>
            <w:r>
              <w:t xml:space="preserve">01 Jan 2025 – 31 May 2025</w:t>
            </w:r>
          </w:p>
        </w:tc>
        <w:tc>
          <w:tcPr/>
          <w:p>
            <w:pPr>
              <w:pStyle w:val="Compact"/>
              <w:jc w:val="left"/>
            </w:pPr>
            <w:r>
              <w:t xml:space="preserve">5 months</w:t>
            </w:r>
          </w:p>
        </w:tc>
        <w:tc>
          <w:tcPr/>
          <w:p>
            <w:pPr>
              <w:pStyle w:val="Compact"/>
              <w:jc w:val="left"/>
            </w:pPr>
            <w:r>
              <w:t xml:space="preserve">4,200.00</w:t>
            </w:r>
          </w:p>
        </w:tc>
        <w:tc>
          <w:tcPr/>
          <w:p>
            <w:pPr>
              <w:pStyle w:val="Compact"/>
              <w:jc w:val="left"/>
            </w:pPr>
            <w:r>
              <w:t xml:space="preserve">21,000.00</w:t>
            </w:r>
          </w:p>
        </w:tc>
      </w:tr>
      <w:tr>
        <w:tc>
          <w:tcPr/>
          <w:p>
            <w:pPr>
              <w:pStyle w:val="Compact"/>
              <w:jc w:val="left"/>
            </w:pPr>
            <w:r>
              <w:t xml:space="preserve">6</w:t>
            </w:r>
          </w:p>
        </w:tc>
        <w:tc>
          <w:tcPr/>
          <w:p>
            <w:pPr>
              <w:pStyle w:val="Compact"/>
              <w:jc w:val="left"/>
            </w:pPr>
            <w:r>
              <w:t xml:space="preserve">Compliance, AML &amp; Regulatory Reporting – Quarterly Anti-Money Laundering (AML) compliance reviews, Know Your Customer (KYC) updates, and regulatory filings submitted to the UAE Central Bank and Dubai Financial Services Authority (DFSA) on behalf of the client by the Banker.</w:t>
            </w:r>
          </w:p>
        </w:tc>
        <w:tc>
          <w:tcPr/>
          <w:p>
            <w:pPr>
              <w:pStyle w:val="Compact"/>
              <w:jc w:val="left"/>
            </w:pPr>
            <w:r>
              <w:t xml:space="preserve">Q1 &amp; Q2 2025</w:t>
            </w:r>
          </w:p>
        </w:tc>
        <w:tc>
          <w:tcPr/>
          <w:p>
            <w:pPr>
              <w:pStyle w:val="Compact"/>
              <w:jc w:val="left"/>
            </w:pPr>
            <w:r>
              <w:t xml:space="preserve">2 quarters</w:t>
            </w:r>
          </w:p>
        </w:tc>
        <w:tc>
          <w:tcPr/>
          <w:p>
            <w:pPr>
              <w:pStyle w:val="Compact"/>
              <w:jc w:val="left"/>
            </w:pPr>
            <w:r>
              <w:t xml:space="preserve">9,500.00</w:t>
            </w:r>
          </w:p>
        </w:tc>
        <w:tc>
          <w:tcPr/>
          <w:p>
            <w:pPr>
              <w:pStyle w:val="Compact"/>
              <w:jc w:val="left"/>
            </w:pPr>
            <w:r>
              <w:t xml:space="preserve">19,000.00</w:t>
            </w:r>
          </w:p>
        </w:tc>
      </w:tr>
      <w:tr>
        <w:tc>
          <w:tcPr/>
          <w:p>
            <w:pPr>
              <w:pStyle w:val="Compact"/>
              <w:jc w:val="left"/>
            </w:pPr>
            <w:r>
              <w:t xml:space="preserve">7</w:t>
            </w:r>
          </w:p>
        </w:tc>
        <w:tc>
          <w:tcPr/>
          <w:p>
            <w:pPr>
              <w:pStyle w:val="Compact"/>
              <w:jc w:val="left"/>
            </w:pPr>
            <w:r>
              <w:t xml:space="preserve">Dedicated Banker On-Site Consultation – Four (4) on-site advisory meetings conducted at the client's Jebel Ali Free Zone office in Dubai by the assigned Senior Corporate Banker for strategic financial planning and product structuring.</w:t>
            </w:r>
          </w:p>
        </w:tc>
        <w:tc>
          <w:tcPr/>
          <w:p>
            <w:pPr>
              <w:pStyle w:val="Compact"/>
              <w:jc w:val="left"/>
            </w:pPr>
            <w:r>
              <w:t xml:space="preserve">Feb – May 2025</w:t>
            </w:r>
          </w:p>
        </w:tc>
        <w:tc>
          <w:tcPr/>
          <w:p>
            <w:pPr>
              <w:pStyle w:val="Compact"/>
              <w:jc w:val="left"/>
            </w:pPr>
            <w:r>
              <w:t xml:space="preserve">4 visits</w:t>
            </w:r>
          </w:p>
        </w:tc>
        <w:tc>
          <w:tcPr/>
          <w:p>
            <w:pPr>
              <w:pStyle w:val="Compact"/>
              <w:jc w:val="left"/>
            </w:pPr>
            <w:r>
              <w:t xml:space="preserve">3,500.00</w:t>
            </w:r>
          </w:p>
        </w:tc>
        <w:tc>
          <w:tcPr/>
          <w:p>
            <w:pPr>
              <w:pStyle w:val="Compact"/>
              <w:jc w:val="left"/>
            </w:pPr>
            <w:r>
              <w:t xml:space="preserve">14,000.00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(AED)</w:t>
            </w:r>
          </w:p>
        </w:tc>
        <w:tc>
          <w:tcPr/>
          <w:p>
            <w:pPr>
              <w:pStyle w:val="Compact"/>
              <w:jc w:val="left"/>
            </w:pPr>
            <w:r>
              <w:t xml:space="preserve">275,350.00</w:t>
            </w:r>
          </w:p>
        </w:tc>
      </w:tr>
      <w:tr>
        <w:tc>
          <w:tcPr/>
          <w:p>
            <w:pPr>
              <w:pStyle w:val="Compact"/>
              <w:jc w:val="left"/>
            </w:pPr>
            <w:r>
              <w:t xml:space="preserve">VAT @ 5% (UAE Standard Rate)</w:t>
            </w:r>
          </w:p>
        </w:tc>
        <w:tc>
          <w:tcPr/>
          <w:p>
            <w:pPr>
              <w:pStyle w:val="Compact"/>
              <w:jc w:val="left"/>
            </w:pPr>
            <w:r>
              <w:t xml:space="preserve">13,767.50</w:t>
            </w:r>
          </w:p>
        </w:tc>
      </w:tr>
      <w:tr>
        <w:tc>
          <w:tcPr/>
          <w:p>
            <w:pPr>
              <w:pStyle w:val="Compact"/>
              <w:jc w:val="left"/>
            </w:pPr>
            <w:r>
              <w:t xml:space="preserve">Banker Service Fee (2.5%)</w:t>
            </w:r>
          </w:p>
        </w:tc>
        <w:tc>
          <w:tcPr/>
          <w:p>
            <w:pPr>
              <w:pStyle w:val="Compact"/>
              <w:jc w:val="left"/>
            </w:pPr>
            <w:r>
              <w:t xml:space="preserve">6,883.75</w:t>
            </w:r>
          </w:p>
        </w:tc>
      </w:tr>
      <w:tr>
        <w:tc>
          <w:tcPr/>
          <w:p>
            <w:pPr>
              <w:pStyle w:val="Compact"/>
              <w:jc w:val="left"/>
            </w:pPr>
            <w:r>
              <w:t xml:space="preserve">UAE Central Bank Transaction Levy</w:t>
            </w:r>
          </w:p>
        </w:tc>
        <w:tc>
          <w:tcPr/>
          <w:p>
            <w:pPr>
              <w:pStyle w:val="Compact"/>
              <w:jc w:val="left"/>
            </w:pPr>
            <w:r>
              <w:t xml:space="preserve">1,376.75</w:t>
            </w:r>
          </w:p>
        </w:tc>
      </w:tr>
      <w:tr>
        <w:tc>
          <w:tcPr/>
          <w:p>
            <w:pPr>
              <w:pStyle w:val="Compact"/>
              <w:jc w:val="left"/>
            </w:pPr>
            <w:r>
              <w:t xml:space="preserve">Discount – Loyal Client (5%)</w:t>
            </w:r>
          </w:p>
        </w:tc>
        <w:tc>
          <w:tcPr/>
          <w:p>
            <w:pPr>
              <w:pStyle w:val="Compact"/>
              <w:jc w:val="left"/>
            </w:pPr>
            <w:r>
              <w:t xml:space="preserve">(13,767.50)</w:t>
            </w:r>
          </w:p>
        </w:tc>
      </w:tr>
      <w:tr>
        <w:tc>
          <w:tcPr/>
          <w:p>
            <w:pPr>
              <w:pStyle w:val="Compact"/>
              <w:jc w:val="left"/>
            </w:pPr>
            <w:r>
              <w:t xml:space="preserve">GRAND TOTAL DUE (AED)</w:t>
            </w:r>
          </w:p>
        </w:tc>
        <w:tc>
          <w:tcPr/>
          <w:p>
            <w:pPr>
              <w:pStyle w:val="Compact"/>
              <w:jc w:val="left"/>
            </w:pPr>
            <w:r>
              <w:t xml:space="preserve">283,610.50</w:t>
            </w:r>
          </w:p>
        </w:tc>
      </w:tr>
    </w:tbl>
    <w:bookmarkStart w:id="24" w:name="terms-conditions-important-notes"/>
    <w:p>
      <w:pPr>
        <w:pStyle w:val="Heading3"/>
      </w:pPr>
      <w:r>
        <w:t xml:space="preserve">Terms, Conditions &amp; Important Notes</w:t>
      </w:r>
    </w:p>
    <w:p>
      <w:pPr>
        <w:pStyle w:val="FirstParagraph"/>
      </w:pPr>
      <w:r>
        <w:rPr>
          <w:bCs/>
          <w:b/>
        </w:rPr>
        <w:t xml:space="preserve">1.</w:t>
      </w:r>
      <w:r>
        <w:t xml:space="preserve"> </w:t>
      </w:r>
      <w:r>
        <w:t xml:space="preserve">This Invoice is issued by Emirates Premier Banking Services LLC, a licensed banking entity operating under the regulatory oversight of the Central Bank of the United Arab Emirates. All banking services described herein are rendered by a duly registered and licensed Banker in Dubai, United Arab Emirates.</w:t>
      </w:r>
    </w:p>
    <w:p>
      <w:pPr>
        <w:pStyle w:val="BodyText"/>
      </w:pPr>
      <w:r>
        <w:rPr>
          <w:bCs/>
          <w:b/>
        </w:rPr>
        <w:t xml:space="preserve">2.</w:t>
      </w:r>
      <w:r>
        <w:t xml:space="preserve"> </w:t>
      </w:r>
      <w:r>
        <w:t xml:space="preserve">Payment of this Invoice is due within thirty (30) calendar days from the date of issue, i.e., no later than 15 July 2025. Late payments shall attract a penalty interest of 2% per month in accordance with UAE Commercial Transactions Law (Federal Decree-Law No. 18 of 1993).</w:t>
      </w:r>
    </w:p>
    <w:p>
      <w:pPr>
        <w:pStyle w:val="BodyText"/>
      </w:pPr>
      <w:r>
        <w:rPr>
          <w:bCs/>
          <w:b/>
        </w:rPr>
        <w:t xml:space="preserve">3.</w:t>
      </w:r>
      <w:r>
        <w:t xml:space="preserve"> </w:t>
      </w:r>
      <w:r>
        <w:t xml:space="preserve">All amounts are denominated in United Arab Emirates Dirhams (AED). The Banker reserves the right to adjust foreign exchange rates based on the UAE Central Bank's published reference rates on the settlement date.</w:t>
      </w:r>
    </w:p>
    <w:p>
      <w:pPr>
        <w:pStyle w:val="BodyText"/>
      </w:pPr>
      <w:r>
        <w:rPr>
          <w:bCs/>
          <w:b/>
        </w:rPr>
        <w:t xml:space="preserve">4.</w:t>
      </w:r>
      <w:r>
        <w:t xml:space="preserve"> </w:t>
      </w:r>
      <w:r>
        <w:t xml:space="preserve">This Invoice is subject to the Master Banking Services Agreement (Contract No. MBSA-2024-0912) executed between the parties on 12 December 2024 in Dubai, United Arab Emirates. In the event of any discrepancy, the terms of the Master Agreement shall prevail.</w:t>
      </w:r>
    </w:p>
    <w:p>
      <w:pPr>
        <w:pStyle w:val="BodyText"/>
      </w:pPr>
      <w:r>
        <w:rPr>
          <w:bCs/>
          <w:b/>
        </w:rPr>
        <w:t xml:space="preserve">5.</w:t>
      </w:r>
      <w:r>
        <w:t xml:space="preserve"> </w:t>
      </w:r>
      <w:r>
        <w:t xml:space="preserve">The Banker confirms that all services have been performed in full compliance with UAE Anti-Money Laundering regulations, the Dubai Financial Services Authority (DFSA) guidelines, and the UAE Central Bank's circulars on corporate banking operations.</w:t>
      </w:r>
    </w:p>
    <w:p>
      <w:pPr>
        <w:pStyle w:val="BodyText"/>
      </w:pPr>
      <w:r>
        <w:rPr>
          <w:bCs/>
          <w:b/>
        </w:rPr>
        <w:t xml:space="preserve">6.</w:t>
      </w:r>
      <w:r>
        <w:t xml:space="preserve"> </w:t>
      </w:r>
      <w:r>
        <w:t xml:space="preserve">Disputes arising from this Invoice shall be resolved through arbitration in Dubai, United Arab Emirates, in accordance with the rules of the Dubai International Arbitration Centre (DIAC).</w:t>
      </w:r>
    </w:p>
    <w:bookmarkEnd w:id="24"/>
    <w:bookmarkStart w:id="25" w:name="payment-instructions"/>
    <w:p>
      <w:pPr>
        <w:pStyle w:val="Heading3"/>
      </w:pPr>
      <w:r>
        <w:t xml:space="preserve">Payment Instructions</w:t>
      </w:r>
    </w:p>
    <w:p>
      <w:pPr>
        <w:pStyle w:val="FirstParagraph"/>
      </w:pPr>
      <w:r>
        <w:t xml:space="preserve">Bank:</w:t>
      </w:r>
      <w:r>
        <w:t xml:space="preserve"> </w:t>
      </w:r>
      <w:r>
        <w:t xml:space="preserve">Emirates Premier Banking Services LLC</w:t>
      </w:r>
    </w:p>
    <w:p>
      <w:pPr>
        <w:pStyle w:val="BodyText"/>
      </w:pPr>
      <w:r>
        <w:t xml:space="preserve">Branch:</w:t>
      </w:r>
      <w:r>
        <w:t xml:space="preserve"> </w:t>
      </w:r>
      <w:r>
        <w:t xml:space="preserve">Dubai Financial Centre, United Arab Emirates</w:t>
      </w:r>
    </w:p>
    <w:p>
      <w:pPr>
        <w:pStyle w:val="BodyText"/>
      </w:pPr>
      <w:r>
        <w:t xml:space="preserve">IBAN:</w:t>
      </w:r>
      <w:r>
        <w:t xml:space="preserve"> </w:t>
      </w:r>
      <w:r>
        <w:t xml:space="preserve">AE07 0000 0001 2345 6789 0123 456</w:t>
      </w:r>
    </w:p>
    <w:p>
      <w:pPr>
        <w:pStyle w:val="BodyText"/>
      </w:pPr>
      <w:r>
        <w:t xml:space="preserve">SWIFT/BIC:</w:t>
      </w:r>
      <w:r>
        <w:t xml:space="preserve"> </w:t>
      </w:r>
      <w:r>
        <w:t xml:space="preserve">EPBSAEDDXXX</w:t>
      </w:r>
    </w:p>
    <w:p>
      <w:pPr>
        <w:pStyle w:val="BodyText"/>
      </w:pPr>
      <w:r>
        <w:t xml:space="preserve">Reference:</w:t>
      </w:r>
      <w:r>
        <w:t xml:space="preserve"> </w:t>
      </w:r>
      <w:r>
        <w:t xml:space="preserve">EBS-2025-04871</w:t>
      </w:r>
    </w:p>
    <w:bookmarkEnd w:id="25"/>
    <w:bookmarkStart w:id="26" w:name="authorized-signatory"/>
    <w:p>
      <w:pPr>
        <w:pStyle w:val="Heading3"/>
      </w:pPr>
      <w:r>
        <w:t xml:space="preserve">Authorized Signatory</w:t>
      </w:r>
    </w:p>
    <w:p>
      <w:pPr>
        <w:pStyle w:val="FirstParagraph"/>
      </w:pPr>
      <w:r>
        <w:t xml:space="preserve">Name:</w:t>
      </w:r>
      <w:r>
        <w:t xml:space="preserve"> </w:t>
      </w:r>
      <w:r>
        <w:t xml:space="preserve">Ms. Fatima Al Rashidi</w:t>
      </w:r>
    </w:p>
    <w:p>
      <w:pPr>
        <w:pStyle w:val="BodyText"/>
      </w:pPr>
      <w:r>
        <w:t xml:space="preserve">Title:</w:t>
      </w:r>
      <w:r>
        <w:t xml:space="preserve"> </w:t>
      </w:r>
      <w:r>
        <w:t xml:space="preserve">Senior Corporate Banker</w:t>
      </w:r>
    </w:p>
    <w:p>
      <w:pPr>
        <w:pStyle w:val="BodyText"/>
      </w:pPr>
      <w:r>
        <w:t xml:space="preserve">Signature:</w:t>
      </w:r>
      <w:r>
        <w:t xml:space="preserve"> </w:t>
      </w:r>
      <w:r>
        <w:t xml:space="preserve">___________________________</w:t>
      </w:r>
    </w:p>
    <w:p>
      <w:pPr>
        <w:pStyle w:val="BodyText"/>
      </w:pPr>
      <w:r>
        <w:t xml:space="preserve">Date:</w:t>
      </w:r>
      <w:r>
        <w:t xml:space="preserve"> </w:t>
      </w:r>
      <w:r>
        <w:t xml:space="preserve">15 June 2025</w:t>
      </w:r>
    </w:p>
    <w:p>
      <w:pPr>
        <w:pStyle w:val="BodyText"/>
      </w:pPr>
      <w:r>
        <w:t xml:space="preserve">Stamp:</w:t>
      </w:r>
      <w:r>
        <w:t xml:space="preserve"> </w:t>
      </w:r>
      <w:r>
        <w:t xml:space="preserve">[Corporate Seal Applied]</w:t>
      </w:r>
    </w:p>
    <w:bookmarkEnd w:id="26"/>
    <w:p>
      <w:pPr>
        <w:pStyle w:val="BodyText"/>
      </w:pPr>
      <w:r>
        <w:t xml:space="preserve">Emirates Premier Banking Services LLC | Dubai Financial Centre, Tower 1, Sheikh Zayed Road, Dubai, United Arab Emirates</w:t>
      </w:r>
    </w:p>
    <w:p>
      <w:pPr>
        <w:pStyle w:val="BodyText"/>
      </w:pPr>
      <w:r>
        <w:t xml:space="preserve">Registered with the UAE Central Bank | DFSA Regulated Entity | TRN: 100458720100003</w:t>
      </w:r>
    </w:p>
    <w:p>
      <w:pPr>
        <w:pStyle w:val="BodyText"/>
      </w:pPr>
      <w:r>
        <w:t xml:space="preserve">This is a computer-generated Invoice issued by a licensed Banker in Dubai, United Arab Emirates. No physical signature is required for validity.</w:t>
      </w:r>
    </w:p>
    <w:p>
      <w:pPr>
        <w:pStyle w:val="BodyText"/>
      </w:pPr>
      <w:r>
        <w:t xml:space="preserve">© 2025 Emirates Premier Banking Services LLC.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Banking Services - United Arab Emirates Dubai</dc:title>
  <dc:creator/>
  <dc:language>en</dc:language>
  <cp:keywords/>
  <dcterms:created xsi:type="dcterms:W3CDTF">2026-10-10T10:01:31Z</dcterms:created>
  <dcterms:modified xsi:type="dcterms:W3CDTF">2026-10-10T10:01:31Z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