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Sterling</w:t>
      </w:r>
      <w:r>
        <w:t xml:space="preserve"> </w:t>
      </w:r>
      <w:r>
        <w:t xml:space="preserve">&amp;</w:t>
      </w:r>
      <w:r>
        <w:t xml:space="preserve"> </w:t>
      </w:r>
      <w:r>
        <w:t xml:space="preserve">Crown</w:t>
      </w:r>
      <w:r>
        <w:t xml:space="preserve"> </w:t>
      </w:r>
      <w:r>
        <w:t xml:space="preserve">Bankers,</w:t>
      </w:r>
      <w:r>
        <w:t xml:space="preserve"> </w:t>
      </w:r>
      <w:r>
        <w:t xml:space="preserve">United</w:t>
      </w:r>
      <w:r>
        <w:t xml:space="preserve"> </w:t>
      </w:r>
      <w:r>
        <w:t xml:space="preserve">Kingdom</w:t>
      </w:r>
      <w:r>
        <w:t xml:space="preserve"> </w:t>
      </w:r>
      <w:r>
        <w:t xml:space="preserve">London</w:t>
      </w:r>
    </w:p>
    <w:bookmarkStart w:id="20" w:name="sterling-crown-bankers-ltd."/>
    <w:p>
      <w:pPr>
        <w:pStyle w:val="Heading1"/>
      </w:pPr>
      <w:r>
        <w:t xml:space="preserve">Sterling &amp; Crown Bankers Ltd.</w:t>
      </w:r>
    </w:p>
    <w:p>
      <w:pPr>
        <w:pStyle w:val="FirstParagraph"/>
      </w:pPr>
      <w:r>
        <w:t xml:space="preserve">14 Threadneedle Street, City of London</w:t>
      </w:r>
    </w:p>
    <w:p>
      <w:pPr>
        <w:pStyle w:val="BodyText"/>
      </w:pPr>
      <w:r>
        <w:t xml:space="preserve">London, EC2R 8AY, United Kingdom</w:t>
      </w:r>
    </w:p>
    <w:p>
      <w:pPr>
        <w:pStyle w:val="BodyText"/>
      </w:pPr>
      <w:r>
        <w:t xml:space="preserve">Tel: +44 (0)20 7890 1234</w:t>
      </w:r>
    </w:p>
    <w:p>
      <w:pPr>
        <w:pStyle w:val="BodyText"/>
      </w:pPr>
      <w:r>
        <w:t xml:space="preserve">Email: invoices@sterlingcrownbankers.co.uk</w:t>
      </w:r>
    </w:p>
    <w:p>
      <w:pPr>
        <w:pStyle w:val="BodyText"/>
      </w:pPr>
      <w:r>
        <w:t xml:space="preserve">Company Reg. No: 04872915 | FCA Authorised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SCB-2025-04872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BKR-LDN-2025-Q2</w:t>
      </w:r>
    </w:p>
    <w:bookmarkEnd w:id="21"/>
    <w:bookmarkStart w:id="22" w:name="billed-to"/>
    <w:p>
      <w:pPr>
        <w:pStyle w:val="Heading3"/>
      </w:pPr>
      <w:r>
        <w:t xml:space="preserve">Billed To</w:t>
      </w:r>
    </w:p>
    <w:p>
      <w:pPr>
        <w:pStyle w:val="FirstParagraph"/>
      </w:pPr>
      <w:r>
        <w:rPr>
          <w:bCs/>
          <w:b/>
        </w:rPr>
        <w:t xml:space="preserve">Meridian Holdings Group PLC</w:t>
      </w:r>
    </w:p>
    <w:p>
      <w:pPr>
        <w:pStyle w:val="BodyText"/>
      </w:pPr>
      <w:r>
        <w:t xml:space="preserve">Attention: Mr. Jonathan Ashworth, CFO</w:t>
      </w:r>
    </w:p>
    <w:p>
      <w:pPr>
        <w:pStyle w:val="BodyText"/>
      </w:pPr>
      <w:r>
        <w:t xml:space="preserve">220 Victoria Street</w:t>
      </w:r>
    </w:p>
    <w:p>
      <w:pPr>
        <w:pStyle w:val="BodyText"/>
      </w:pPr>
      <w:r>
        <w:t xml:space="preserve">London, SW1E 6LD</w:t>
      </w:r>
    </w:p>
    <w:p>
      <w:pPr>
        <w:pStyle w:val="BodyText"/>
      </w:pPr>
      <w:r>
        <w:t xml:space="preserve">United Kingdom</w:t>
      </w:r>
    </w:p>
    <w:p>
      <w:pPr>
        <w:pStyle w:val="BodyText"/>
      </w:pPr>
      <w:r>
        <w:t xml:space="preserve">VAT No: GB 987654321</w:t>
      </w:r>
    </w:p>
    <w:bookmarkEnd w:id="22"/>
    <w:bookmarkStart w:id="23" w:name="banker-details"/>
    <w:p>
      <w:pPr>
        <w:pStyle w:val="Heading3"/>
      </w:pPr>
      <w:r>
        <w:t xml:space="preserve">Banker Details</w:t>
      </w:r>
    </w:p>
    <w:p>
      <w:pPr>
        <w:pStyle w:val="FirstParagraph"/>
      </w:pPr>
      <w:r>
        <w:rPr>
          <w:bCs/>
          <w:b/>
        </w:rPr>
        <w:t xml:space="preserve">Sterling &amp; Crown Bankers Ltd.</w:t>
      </w:r>
    </w:p>
    <w:p>
      <w:pPr>
        <w:pStyle w:val="BodyText"/>
      </w:pPr>
      <w:r>
        <w:t xml:space="preserve">Lead Banker: Sir Edward Hartley, CBE</w:t>
      </w:r>
    </w:p>
    <w:p>
      <w:pPr>
        <w:pStyle w:val="BodyText"/>
      </w:pPr>
      <w:r>
        <w:t xml:space="preserve">Banker's Office: 14 Threadneedle Street</w:t>
      </w:r>
    </w:p>
    <w:p>
      <w:pPr>
        <w:pStyle w:val="BodyText"/>
      </w:pPr>
      <w:r>
        <w:t xml:space="preserve">City of London, EC2R 8AY</w:t>
      </w:r>
    </w:p>
    <w:p>
      <w:pPr>
        <w:pStyle w:val="BodyText"/>
      </w:pPr>
      <w:r>
        <w:t xml:space="preserve">United Kingdom</w:t>
      </w:r>
    </w:p>
    <w:p>
      <w:pPr>
        <w:pStyle w:val="BodyText"/>
      </w:pPr>
      <w:r>
        <w:t xml:space="preserve">VAT No: GB 123456789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Banking Services</w:t>
            </w:r>
          </w:p>
        </w:tc>
        <w:tc>
          <w:tcPr/>
          <w:p>
            <w:pPr>
              <w:pStyle w:val="Compact"/>
              <w:jc w:val="left"/>
            </w:pPr>
            <w:r>
              <w:t xml:space="preserve">Period</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Corporate Banking Advisory – Ongoing relationship management and strategic financial guidance provided by the designated Banker to Meridian Holdings Group PLC for the second quarter of 2025, conducted from our principal offices in United Kingdom London.</w:t>
            </w:r>
          </w:p>
        </w:tc>
        <w:tc>
          <w:tcPr/>
          <w:p>
            <w:pPr>
              <w:pStyle w:val="Compact"/>
              <w:jc w:val="left"/>
            </w:pPr>
            <w:r>
              <w:t xml:space="preserve">Apr – Jun 2025</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Trade Finance &amp; Letter of Credit Issuance – Processing and management of international trade documentation, issuance of irrevocable letters of credit, and advisory on cross-border payment settlements facilitated by the Banker's trade finance division in United Kingdom London.</w:t>
            </w:r>
          </w:p>
        </w:tc>
        <w:tc>
          <w:tcPr/>
          <w:p>
            <w:pPr>
              <w:pStyle w:val="Compact"/>
              <w:jc w:val="left"/>
            </w:pPr>
            <w:r>
              <w:t xml:space="preserve">Apr – Jun 2025</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£1,750.00</w:t>
            </w:r>
          </w:p>
        </w:tc>
      </w:tr>
      <w:tr>
        <w:tc>
          <w:tcPr/>
          <w:p>
            <w:pPr>
              <w:pStyle w:val="Compact"/>
              <w:jc w:val="left"/>
            </w:pPr>
            <w:r>
              <w:t xml:space="preserve">03</w:t>
            </w:r>
          </w:p>
        </w:tc>
        <w:tc>
          <w:tcPr/>
          <w:p>
            <w:pPr>
              <w:pStyle w:val="Compact"/>
              <w:jc w:val="left"/>
            </w:pPr>
            <w:r>
              <w:t xml:space="preserve">Foreign Exchange Hedging Services – Execution and monitoring of forward currency contracts and options to mitigate exchange rate exposure for the client's operations across the European Union and Commonwealth territories, arranged by the Banker's FX desk in United Kingdom London.</w:t>
            </w:r>
          </w:p>
        </w:tc>
        <w:tc>
          <w:tcPr/>
          <w:p>
            <w:pPr>
              <w:pStyle w:val="Compact"/>
              <w:jc w:val="left"/>
            </w:pPr>
            <w:r>
              <w:t xml:space="preserve">Apr – Jun 2025</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£1,240.00</w:t>
            </w:r>
          </w:p>
        </w:tc>
      </w:tr>
      <w:tr>
        <w:tc>
          <w:tcPr/>
          <w:p>
            <w:pPr>
              <w:pStyle w:val="Compact"/>
              <w:jc w:val="left"/>
            </w:pPr>
            <w:r>
              <w:t xml:space="preserve">04</w:t>
            </w:r>
          </w:p>
        </w:tc>
        <w:tc>
          <w:tcPr/>
          <w:p>
            <w:pPr>
              <w:pStyle w:val="Compact"/>
              <w:jc w:val="left"/>
            </w:pPr>
            <w:r>
              <w:t xml:space="preserve">Loan Syndication &amp; Underwriting Fees – The Banker's role as lead arranger and underwriter for a £45,000,000 senior secured term loan facility, including credit assessment, covenant structuring, and ongoing facility administration from our United Kingdom London headquarters.</w:t>
            </w:r>
          </w:p>
        </w:tc>
        <w:tc>
          <w:tcPr/>
          <w:p>
            <w:pPr>
              <w:pStyle w:val="Compact"/>
              <w:jc w:val="left"/>
            </w:pPr>
            <w:r>
              <w:t xml:space="preserve">Apr – Jun 2025</w:t>
            </w:r>
          </w:p>
        </w:tc>
        <w:tc>
          <w:tcPr/>
          <w:p>
            <w:pPr>
              <w:pStyle w:val="Compact"/>
              <w:jc w:val="left"/>
            </w:pPr>
            <w:r>
              <w:t xml:space="preserve">£18,400.00</w:t>
            </w:r>
          </w:p>
        </w:tc>
        <w:tc>
          <w:tcPr/>
          <w:p>
            <w:pPr>
              <w:pStyle w:val="Compact"/>
              <w:jc w:val="left"/>
            </w:pPr>
            <w:r>
              <w:t xml:space="preserve">£18,400.00</w:t>
            </w:r>
          </w:p>
        </w:tc>
        <w:tc>
          <w:tcPr/>
          <w:p>
            <w:pPr>
              <w:pStyle w:val="Compact"/>
              <w:jc w:val="left"/>
            </w:pPr>
            <w:r>
              <w:t xml:space="preserve">£3,680.00</w:t>
            </w:r>
          </w:p>
        </w:tc>
      </w:tr>
      <w:tr>
        <w:tc>
          <w:tcPr/>
          <w:p>
            <w:pPr>
              <w:pStyle w:val="Compact"/>
              <w:jc w:val="left"/>
            </w:pPr>
            <w:r>
              <w:t xml:space="preserve">05</w:t>
            </w:r>
          </w:p>
        </w:tc>
        <w:tc>
          <w:tcPr/>
          <w:p>
            <w:pPr>
              <w:pStyle w:val="Compact"/>
              <w:jc w:val="left"/>
            </w:pPr>
            <w:r>
              <w:t xml:space="preserve">Treasury Management &amp; Cash Pooling – Daily operational management of the client's multi-currency cash pooling structure, automated sweep arrangements, and liquidity forecasting services delivered by the Banker's treasury operations team in United Kingdom London.</w:t>
            </w:r>
          </w:p>
        </w:tc>
        <w:tc>
          <w:tcPr/>
          <w:p>
            <w:pPr>
              <w:pStyle w:val="Compact"/>
              <w:jc w:val="left"/>
            </w:pPr>
            <w:r>
              <w:t xml:space="preserve">Apr – Jun 2025</w:t>
            </w:r>
          </w:p>
        </w:tc>
        <w:tc>
          <w:tcPr/>
          <w:p>
            <w:pPr>
              <w:pStyle w:val="Compact"/>
              <w:jc w:val="left"/>
            </w:pPr>
            <w:r>
              <w:t xml:space="preserve">£4,300.00</w:t>
            </w:r>
          </w:p>
        </w:tc>
        <w:tc>
          <w:tcPr/>
          <w:p>
            <w:pPr>
              <w:pStyle w:val="Compact"/>
              <w:jc w:val="left"/>
            </w:pPr>
            <w:r>
              <w:t xml:space="preserve">£4,300.00</w:t>
            </w:r>
          </w:p>
        </w:tc>
        <w:tc>
          <w:tcPr/>
          <w:p>
            <w:pPr>
              <w:pStyle w:val="Compact"/>
              <w:jc w:val="left"/>
            </w:pPr>
            <w:r>
              <w:t xml:space="preserve">£860.00</w:t>
            </w:r>
          </w:p>
        </w:tc>
      </w:tr>
      <w:tr>
        <w:tc>
          <w:tcPr/>
          <w:p>
            <w:pPr>
              <w:pStyle w:val="Compact"/>
              <w:jc w:val="left"/>
            </w:pPr>
            <w:r>
              <w:t xml:space="preserve">06</w:t>
            </w:r>
          </w:p>
        </w:tc>
        <w:tc>
          <w:tcPr/>
          <w:p>
            <w:pPr>
              <w:pStyle w:val="Compact"/>
              <w:jc w:val="left"/>
            </w:pPr>
            <w:r>
              <w:t xml:space="preserve">Regulatory Compliance &amp; AML Reporting – Quarterly anti-money laundering review, beneficial ownership verification, and regulatory reporting to the Financial Conduct Authority (FCA) and HM Revenue &amp; Customs, performed by the Banker's compliance division in United Kingdom London.</w:t>
            </w:r>
          </w:p>
        </w:tc>
        <w:tc>
          <w:tcPr/>
          <w:p>
            <w:pPr>
              <w:pStyle w:val="Compact"/>
              <w:jc w:val="left"/>
            </w:pPr>
            <w:r>
              <w:t xml:space="preserve">Apr – Jun 2025</w:t>
            </w:r>
          </w:p>
        </w:tc>
        <w:tc>
          <w:tcPr/>
          <w:p>
            <w:pPr>
              <w:pStyle w:val="Compact"/>
              <w:jc w:val="left"/>
            </w:pPr>
            <w:r>
              <w:t xml:space="preserve">£3,150.00</w:t>
            </w:r>
          </w:p>
        </w:tc>
        <w:tc>
          <w:tcPr/>
          <w:p>
            <w:pPr>
              <w:pStyle w:val="Compact"/>
              <w:jc w:val="left"/>
            </w:pPr>
            <w:r>
              <w:t xml:space="preserve">£3,150.00</w:t>
            </w:r>
          </w:p>
        </w:tc>
        <w:tc>
          <w:tcPr/>
          <w:p>
            <w:pPr>
              <w:pStyle w:val="Compact"/>
              <w:jc w:val="left"/>
            </w:pPr>
            <w:r>
              <w:t xml:space="preserve">£630.00</w:t>
            </w:r>
          </w:p>
        </w:tc>
      </w:tr>
      <w:tr>
        <w:tc>
          <w:tcPr/>
          <w:p>
            <w:pPr>
              <w:pStyle w:val="Compact"/>
              <w:jc w:val="left"/>
            </w:pPr>
            <w:r>
              <w:t xml:space="preserve">07</w:t>
            </w:r>
          </w:p>
        </w:tc>
        <w:tc>
          <w:tcPr/>
          <w:p>
            <w:pPr>
              <w:pStyle w:val="Compact"/>
              <w:jc w:val="left"/>
            </w:pPr>
            <w:r>
              <w:t xml:space="preserve">Annual Banker's Certificate &amp; Solvency Attestation – Preparation and issuance of the formal Banker's certificate confirming the client's account standing, creditworthiness, and solvency position as required for the client's annual audit, signed by the authorised Banker in United Kingdom London.</w:t>
            </w:r>
          </w:p>
        </w:tc>
        <w:tc>
          <w:tcPr/>
          <w:p>
            <w:pPr>
              <w:pStyle w:val="Compact"/>
              <w:jc w:val="left"/>
            </w:pPr>
            <w:r>
              <w:t xml:space="preserve">Jun 2025</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£55,100.00</w:t>
            </w:r>
          </w:p>
        </w:tc>
      </w:tr>
      <w:tr>
        <w:tc>
          <w:tcPr/>
          <w:p>
            <w:pPr>
              <w:pStyle w:val="Compact"/>
              <w:jc w:val="left"/>
            </w:pPr>
            <w:r>
              <w:t xml:space="preserve">VAT @ 20%</w:t>
            </w:r>
          </w:p>
        </w:tc>
        <w:tc>
          <w:tcPr/>
          <w:p>
            <w:pPr>
              <w:pStyle w:val="Compact"/>
              <w:jc w:val="right"/>
            </w:pPr>
            <w:r>
              <w:t xml:space="preserve">£11,020.00</w:t>
            </w:r>
          </w:p>
        </w:tc>
      </w:tr>
      <w:tr>
        <w:tc>
          <w:tcPr/>
          <w:p>
            <w:pPr>
              <w:pStyle w:val="Compact"/>
              <w:jc w:val="left"/>
            </w:pPr>
            <w:r>
              <w:t xml:space="preserve">Early Payment Discount (2% if settled within 14 days)</w:t>
            </w:r>
          </w:p>
        </w:tc>
        <w:tc>
          <w:tcPr/>
          <w:p>
            <w:pPr>
              <w:pStyle w:val="Compact"/>
              <w:jc w:val="right"/>
            </w:pPr>
            <w:r>
              <w:t xml:space="preserve">-£1,102.00</w:t>
            </w:r>
          </w:p>
        </w:tc>
      </w:tr>
      <w:tr>
        <w:tc>
          <w:tcPr/>
          <w:p>
            <w:pPr>
              <w:pStyle w:val="Compact"/>
              <w:jc w:val="left"/>
            </w:pPr>
            <w:r>
              <w:t xml:space="preserve">Grand Total Due</w:t>
            </w:r>
          </w:p>
        </w:tc>
        <w:tc>
          <w:tcPr/>
          <w:p>
            <w:pPr>
              <w:pStyle w:val="Compact"/>
              <w:jc w:val="right"/>
            </w:pPr>
            <w:r>
              <w:t xml:space="preserve">£65,018.00</w:t>
            </w:r>
          </w:p>
        </w:tc>
      </w:tr>
    </w:tbl>
    <w:p>
      <w:pPr>
        <w:pStyle w:val="BodyText"/>
      </w:pPr>
      <w:r>
        <w:t xml:space="preserve">All amounts are denominated in British Pounds Sterling (GBP). VAT is charged in accordance with the Value Added Tax Act 1994 as applicable in the United Kingdom London jurisdiction.</w:t>
      </w:r>
    </w:p>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Direct Bank Transfer (CHAPS) to the account of Sterling &amp; Crown Bankers Ltd.</w:t>
      </w:r>
    </w:p>
    <w:p>
      <w:pPr>
        <w:pStyle w:val="BodyText"/>
      </w:pPr>
      <w:r>
        <w:rPr>
          <w:bCs/>
          <w:b/>
        </w:rPr>
        <w:t xml:space="preserve">Bank:</w:t>
      </w:r>
      <w:r>
        <w:t xml:space="preserve"> </w:t>
      </w:r>
      <w:r>
        <w:t xml:space="preserve">Sterling &amp; Crown Bankers Ltd., United Kingdom London</w:t>
      </w:r>
    </w:p>
    <w:p>
      <w:pPr>
        <w:pStyle w:val="BodyText"/>
      </w:pPr>
      <w:r>
        <w:rPr>
          <w:bCs/>
          <w:b/>
        </w:rPr>
        <w:t xml:space="preserve">Sort Code:</w:t>
      </w:r>
      <w:r>
        <w:t xml:space="preserve"> </w:t>
      </w:r>
      <w:r>
        <w:t xml:space="preserve">80-15-30</w:t>
      </w:r>
    </w:p>
    <w:p>
      <w:pPr>
        <w:pStyle w:val="BodyText"/>
      </w:pPr>
      <w:r>
        <w:rPr>
          <w:bCs/>
          <w:b/>
        </w:rPr>
        <w:t xml:space="preserve">Account Number:</w:t>
      </w:r>
      <w:r>
        <w:t xml:space="preserve"> </w:t>
      </w:r>
      <w:r>
        <w:t xml:space="preserve">55218734</w:t>
      </w:r>
    </w:p>
    <w:p>
      <w:pPr>
        <w:pStyle w:val="BodyText"/>
      </w:pPr>
      <w:r>
        <w:rPr>
          <w:bCs/>
          <w:b/>
        </w:rPr>
        <w:t xml:space="preserve">IBAN:</w:t>
      </w:r>
      <w:r>
        <w:t xml:space="preserve"> </w:t>
      </w:r>
      <w:r>
        <w:t xml:space="preserve">GB29 STCB 8015 3055 2187 34</w:t>
      </w:r>
    </w:p>
    <w:p>
      <w:pPr>
        <w:pStyle w:val="BodyText"/>
      </w:pPr>
      <w:r>
        <w:rPr>
          <w:bCs/>
          <w:b/>
        </w:rPr>
        <w:t xml:space="preserve">BIC/SWIFT:</w:t>
      </w:r>
      <w:r>
        <w:t xml:space="preserve"> </w:t>
      </w:r>
      <w:r>
        <w:t xml:space="preserve">STCBGB2L</w:t>
      </w:r>
    </w:p>
    <w:p>
      <w:pPr>
        <w:pStyle w:val="BodyText"/>
      </w:pPr>
      <w:r>
        <w:rPr>
          <w:bCs/>
          <w:b/>
        </w:rPr>
        <w:t xml:space="preserve">Reference:</w:t>
      </w:r>
      <w:r>
        <w:t xml:space="preserve"> </w:t>
      </w:r>
      <w:r>
        <w:t xml:space="preserve">SCB-2025-04872</w:t>
      </w:r>
    </w:p>
    <w:p>
      <w:pPr>
        <w:pStyle w:val="BodyText"/>
      </w:pPr>
      <w:r>
        <w:rPr>
          <w:bCs/>
          <w:b/>
        </w:rPr>
        <w:t xml:space="preserve">Due Date:</w:t>
      </w:r>
      <w:r>
        <w:t xml:space="preserve"> </w:t>
      </w:r>
      <w:r>
        <w:t xml:space="preserve">15 July 2025 (30 days from date of this Invoice)</w:t>
      </w:r>
    </w:p>
    <w:p>
      <w:pPr>
        <w:pStyle w:val="BodyText"/>
      </w:pPr>
      <w:r>
        <w:rPr>
          <w:bCs/>
          <w:b/>
        </w:rPr>
        <w:t xml:space="preserve">Late Payment:</w:t>
      </w:r>
      <w:r>
        <w:t xml:space="preserve"> </w:t>
      </w:r>
      <w:r>
        <w:t xml:space="preserve">Interest on overdue amounts shall accrue at the rate of 4% above the Bank of England base rate, in accordance with the Late Payment of Commercial Debts (Interest) Act 1998, as enforced in United Kingdom London.</w:t>
      </w:r>
    </w:p>
    <w:bookmarkEnd w:id="24"/>
    <w:bookmarkStart w:id="25" w:name="important-notes-bankers-declaration"/>
    <w:p>
      <w:pPr>
        <w:pStyle w:val="Heading3"/>
      </w:pPr>
      <w:r>
        <w:t xml:space="preserve">Important Notes &amp; Banker's Declaration</w:t>
      </w:r>
    </w:p>
    <w:p>
      <w:pPr>
        <w:pStyle w:val="FirstParagraph"/>
      </w:pPr>
      <w:r>
        <w:t xml:space="preserve">This Invoice is issued by Sterling &amp; Crown Bankers Ltd., acting in its capacity as the appointed Banker to Meridian Holdings Group PLC. All banking services described herein were rendered from our registered offices in United Kingdom London, and this Invoice constitutes the formal record of charges for the period specified.</w:t>
      </w:r>
    </w:p>
    <w:p>
      <w:pPr>
        <w:pStyle w:val="BodyText"/>
      </w:pPr>
      <w:r>
        <w:t xml:space="preserve">The undersigned Banker, Sir Edward Hartley, CBE, hereby certifies that all services listed on this Invoice were duly performed in accordance with the terms of the Master Banking Agreement dated 12 March 2024, and in full compliance with the regulations of the Financial Conduct Authority (FCA) and the Prudential Regulation Authority (PRA) of the United Kingdom.</w:t>
      </w:r>
    </w:p>
    <w:p>
      <w:pPr>
        <w:pStyle w:val="BodyText"/>
      </w:pPr>
      <w:r>
        <w:t xml:space="preserve">Should the client require any clarification regarding the line items, the Banker's office in United Kingdom London remains available during standard business hours (08:00 – 17:30 GMT, Monday to Friday) for queries and reconciliation. Please reference Invoice number SCB-2025-04872 in all correspondence.</w:t>
      </w:r>
    </w:p>
    <w:p>
      <w:pPr>
        <w:pStyle w:val="BodyText"/>
      </w:pPr>
      <w:r>
        <w:t xml:space="preserve">This Invoice is valid for a period of twelve (12) months from the date of issue. After this period, the Banker reserves the right to reissue the document with updated regulatory references applicable to United Kingdom London banking operations.</w:t>
      </w:r>
    </w:p>
    <w:bookmarkEnd w:id="25"/>
    <w:p>
      <w:pPr>
        <w:pStyle w:val="BodyText"/>
      </w:pPr>
      <w:r>
        <w:rPr>
          <w:bCs/>
          <w:b/>
        </w:rPr>
        <w:t xml:space="preserve">Sterling &amp; Crown Bankers Ltd.</w:t>
      </w:r>
      <w:r>
        <w:t xml:space="preserve"> </w:t>
      </w:r>
      <w:r>
        <w:t xml:space="preserve">– A Company Registered in England and Wales</w:t>
      </w:r>
    </w:p>
    <w:p>
      <w:pPr>
        <w:pStyle w:val="BodyText"/>
      </w:pPr>
      <w:r>
        <w:t xml:space="preserve">Registered Office: 14 Threadneedle Street, City of London, EC2R 8AY, United Kingdom</w:t>
      </w:r>
    </w:p>
    <w:p>
      <w:pPr>
        <w:pStyle w:val="BodyText"/>
      </w:pPr>
      <w:r>
        <w:t xml:space="preserve">Authorised by the Prudential Regulation Authority and regulated by the Financial Conduct Authority (FCA Firm Reference: 482915)</w:t>
      </w:r>
    </w:p>
    <w:p>
      <w:pPr>
        <w:pStyle w:val="BodyText"/>
      </w:pPr>
      <w:r>
        <w:t xml:space="preserve">This Invoice is issued in accordance with the Supply of Services (Place of Supply) Order 2005 and applicable United Kingdom London tax legislation.</w:t>
      </w:r>
    </w:p>
    <w:p>
      <w:pPr>
        <w:pStyle w:val="BodyText"/>
      </w:pPr>
      <w:r>
        <w:t xml:space="preserve">Thank you for your continued trust in our banking services. We look forward to maintaining our professional relationship as your dedicated Banker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Sterling &amp; Crown Bankers, United Kingdom London</dc:title>
  <dc:creator/>
  <dc:language>en-GB</dc:language>
  <cp:keywords/>
  <dcterms:created xsi:type="dcterms:W3CDTF">2026-10-10T09:23:08Z</dcterms:created>
  <dcterms:modified xsi:type="dcterms:W3CDTF">2026-10-10T09:23:08Z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