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Banker</w:t>
      </w:r>
      <w:r>
        <w:t xml:space="preserve"> </w:t>
      </w:r>
      <w:r>
        <w:t xml:space="preserve">Financial</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Houston</w:t>
      </w:r>
    </w:p>
    <w:bookmarkStart w:id="20" w:name="houston-banker-financial-group"/>
    <w:p>
      <w:pPr>
        <w:pStyle w:val="Heading1"/>
      </w:pPr>
      <w:r>
        <w:t xml:space="preserve">Houston Banker Financial Group</w:t>
      </w:r>
    </w:p>
    <w:p>
      <w:pPr>
        <w:pStyle w:val="FirstParagraph"/>
      </w:pPr>
      <w:r>
        <w:t xml:space="preserve">4500 Smith Street, Suite 2100</w:t>
      </w:r>
    </w:p>
    <w:p>
      <w:pPr>
        <w:pStyle w:val="BodyText"/>
      </w:pPr>
      <w:r>
        <w:t xml:space="preserve">Houston, Texas 77002, United States</w:t>
      </w:r>
    </w:p>
    <w:p>
      <w:pPr>
        <w:pStyle w:val="BodyText"/>
      </w:pPr>
      <w:r>
        <w:t xml:space="preserve">Phone: (713) 555-0147 | Email: billing@houstonbankerfg.com</w:t>
      </w:r>
    </w:p>
    <w:p>
      <w:pPr>
        <w:pStyle w:val="BodyText"/>
      </w:pPr>
      <w:r>
        <w:t xml:space="preserve">Tax ID (EIN): 74-2839105</w:t>
      </w:r>
    </w:p>
    <w:p>
      <w:pPr>
        <w:pStyle w:val="BodyText"/>
      </w:pPr>
      <w:r>
        <w:t xml:space="preserve">Licensed Banker – State of Texas</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HBF-2025-04872</w:t>
      </w:r>
    </w:p>
    <w:p>
      <w:pPr>
        <w:pStyle w:val="BodyText"/>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Service Period:</w:t>
      </w:r>
      <w:r>
        <w:t xml:space="preserve"> </w:t>
      </w:r>
      <w:r>
        <w:t xml:space="preserve">May 1, 2025 – May 31, 2025</w:t>
      </w:r>
    </w:p>
    <w:bookmarkEnd w:id="21"/>
    <w:bookmarkStart w:id="22" w:name="bill-to"/>
    <w:p>
      <w:pPr>
        <w:pStyle w:val="Heading3"/>
      </w:pPr>
      <w:r>
        <w:t xml:space="preserve">Bill To</w:t>
      </w:r>
    </w:p>
    <w:p>
      <w:pPr>
        <w:pStyle w:val="FirstParagraph"/>
      </w:pPr>
      <w:r>
        <w:rPr>
          <w:bCs/>
          <w:b/>
        </w:rPr>
        <w:t xml:space="preserve">Meridian Industrial Holdings, LLC</w:t>
      </w:r>
    </w:p>
    <w:p>
      <w:pPr>
        <w:pStyle w:val="BodyText"/>
      </w:pPr>
      <w:r>
        <w:t xml:space="preserve">Attn: Mr. David R. Calloway, CFO</w:t>
      </w:r>
    </w:p>
    <w:p>
      <w:pPr>
        <w:pStyle w:val="BodyText"/>
      </w:pPr>
      <w:r>
        <w:t xml:space="preserve">1200 Louisiana Street, Floor 18</w:t>
      </w:r>
    </w:p>
    <w:p>
      <w:pPr>
        <w:pStyle w:val="BodyText"/>
      </w:pPr>
      <w:r>
        <w:t xml:space="preserve">Houston, Texas 77002, United States</w:t>
      </w:r>
    </w:p>
    <w:p>
      <w:pPr>
        <w:pStyle w:val="BodyText"/>
      </w:pPr>
      <w:r>
        <w:t xml:space="preserve">Tax ID: 75-4412893</w:t>
      </w:r>
    </w:p>
    <w:bookmarkEnd w:id="22"/>
    <w:bookmarkStart w:id="23" w:name="prepared-by"/>
    <w:p>
      <w:pPr>
        <w:pStyle w:val="Heading3"/>
      </w:pPr>
      <w:r>
        <w:t xml:space="preserve">Prepared By</w:t>
      </w:r>
    </w:p>
    <w:p>
      <w:pPr>
        <w:pStyle w:val="FirstParagraph"/>
      </w:pPr>
      <w:r>
        <w:rPr>
          <w:bCs/>
          <w:b/>
        </w:rPr>
        <w:t xml:space="preserve">Jonathan M. Whitfield, CFA</w:t>
      </w:r>
    </w:p>
    <w:p>
      <w:pPr>
        <w:pStyle w:val="BodyText"/>
      </w:pPr>
      <w:r>
        <w:t xml:space="preserve">Senior Banker &amp; Portfolio Advisor</w:t>
      </w:r>
    </w:p>
    <w:p>
      <w:pPr>
        <w:pStyle w:val="BodyText"/>
      </w:pPr>
      <w:r>
        <w:t xml:space="preserve">Houston Banker Financial Group</w:t>
      </w:r>
    </w:p>
    <w:p>
      <w:pPr>
        <w:pStyle w:val="BodyText"/>
      </w:pPr>
      <w:r>
        <w:t xml:space="preserve">Houston, Texas, United States</w:t>
      </w:r>
    </w:p>
    <w:p>
      <w:pPr>
        <w:pStyle w:val="BodyText"/>
      </w:pPr>
      <w:r>
        <w:t xml:space="preserve">License No. TX-BNK-2019-00482</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Banking &amp; Financial Services</w:t>
            </w:r>
          </w:p>
        </w:tc>
        <w:tc>
          <w:tcPr/>
          <w:p>
            <w:pPr>
              <w:pStyle w:val="Compact"/>
              <w:jc w:val="left"/>
            </w:pPr>
            <w:r>
              <w:t xml:space="preserve">Service Category</w:t>
            </w:r>
          </w:p>
        </w:tc>
        <w:tc>
          <w:tcPr/>
          <w:p>
            <w:pPr>
              <w:pStyle w:val="Compact"/>
              <w:jc w:val="left"/>
            </w:pPr>
            <w:r>
              <w:t xml:space="preserve">Hours / Units</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Comprehensive corporate banking advisory session conducted by the assigned Banker at the Houston, United States office. Included review of commercial loan structures, credit facility optimization, and treasury management strategies for the fiscal quarter.</w:t>
            </w:r>
          </w:p>
        </w:tc>
        <w:tc>
          <w:tcPr/>
          <w:p>
            <w:pPr>
              <w:pStyle w:val="Compact"/>
              <w:jc w:val="left"/>
            </w:pPr>
            <w:r>
              <w:t xml:space="preserve">Banking Advisory</w:t>
            </w:r>
          </w:p>
        </w:tc>
        <w:tc>
          <w:tcPr/>
          <w:p>
            <w:pPr>
              <w:pStyle w:val="Compact"/>
              <w:jc w:val="left"/>
            </w:pPr>
            <w:r>
              <w:t xml:space="preserve">6.0 hrs</w:t>
            </w:r>
          </w:p>
        </w:tc>
        <w:tc>
          <w:tcPr/>
          <w:p>
            <w:pPr>
              <w:pStyle w:val="Compact"/>
              <w:jc w:val="left"/>
            </w:pPr>
            <w:r>
              <w:t xml:space="preserve">$325.00</w:t>
            </w:r>
          </w:p>
        </w:tc>
        <w:tc>
          <w:tcPr/>
          <w:p>
            <w:pPr>
              <w:pStyle w:val="Compact"/>
              <w:jc w:val="left"/>
            </w:pPr>
            <w:r>
              <w:t xml:space="preserve">$1,950.00</w:t>
            </w:r>
          </w:p>
        </w:tc>
      </w:tr>
      <w:tr>
        <w:tc>
          <w:tcPr/>
          <w:p>
            <w:pPr>
              <w:pStyle w:val="Compact"/>
              <w:jc w:val="left"/>
            </w:pPr>
            <w:r>
              <w:t xml:space="preserve">2</w:t>
            </w:r>
          </w:p>
        </w:tc>
        <w:tc>
          <w:tcPr/>
          <w:p>
            <w:pPr>
              <w:pStyle w:val="Compact"/>
              <w:jc w:val="left"/>
            </w:pPr>
            <w:r>
              <w:t xml:space="preserve">Portfolio restructuring and asset allocation analysis performed by the senior Banker. This service encompassed rebalancing of fixed-income instruments, equity exposure adjustments, and risk assessment aligned with the client's stated objectives in the United States Houston metropolitan market.</w:t>
            </w:r>
          </w:p>
        </w:tc>
        <w:tc>
          <w:tcPr/>
          <w:p>
            <w:pPr>
              <w:pStyle w:val="Compact"/>
              <w:jc w:val="left"/>
            </w:pPr>
            <w:r>
              <w:t xml:space="preserve">Portfolio Management</w:t>
            </w:r>
          </w:p>
        </w:tc>
        <w:tc>
          <w:tcPr/>
          <w:p>
            <w:pPr>
              <w:pStyle w:val="Compact"/>
              <w:jc w:val="left"/>
            </w:pPr>
            <w:r>
              <w:t xml:space="preserve">4.5 hrs</w:t>
            </w:r>
          </w:p>
        </w:tc>
        <w:tc>
          <w:tcPr/>
          <w:p>
            <w:pPr>
              <w:pStyle w:val="Compact"/>
              <w:jc w:val="left"/>
            </w:pPr>
            <w:r>
              <w:t xml:space="preserve">$375.00</w:t>
            </w:r>
          </w:p>
        </w:tc>
        <w:tc>
          <w:tcPr/>
          <w:p>
            <w:pPr>
              <w:pStyle w:val="Compact"/>
              <w:jc w:val="left"/>
            </w:pPr>
            <w:r>
              <w:t xml:space="preserve">$1,687.50</w:t>
            </w:r>
          </w:p>
        </w:tc>
      </w:tr>
      <w:tr>
        <w:tc>
          <w:tcPr/>
          <w:p>
            <w:pPr>
              <w:pStyle w:val="Compact"/>
              <w:jc w:val="left"/>
            </w:pPr>
            <w:r>
              <w:t xml:space="preserve">3</w:t>
            </w:r>
          </w:p>
        </w:tc>
        <w:tc>
          <w:tcPr/>
          <w:p>
            <w:pPr>
              <w:pStyle w:val="Compact"/>
              <w:jc w:val="left"/>
            </w:pPr>
            <w:r>
              <w:t xml:space="preserve">Preparation and filing of quarterly regulatory compliance documentation required by the Texas Department of Banking and the Federal Reserve Bank of Dallas. The Banker ensured all filings met the standards applicable to financial institutions operating in Houston, United States.</w:t>
            </w:r>
          </w:p>
        </w:tc>
        <w:tc>
          <w:tcPr/>
          <w:p>
            <w:pPr>
              <w:pStyle w:val="Compact"/>
              <w:jc w:val="left"/>
            </w:pPr>
            <w:r>
              <w:t xml:space="preserve">Regulatory Compliance</w:t>
            </w:r>
          </w:p>
        </w:tc>
        <w:tc>
          <w:tcPr/>
          <w:p>
            <w:pPr>
              <w:pStyle w:val="Compact"/>
              <w:jc w:val="left"/>
            </w:pPr>
            <w:r>
              <w:t xml:space="preserve">3.0 hrs</w:t>
            </w:r>
          </w:p>
        </w:tc>
        <w:tc>
          <w:tcPr/>
          <w:p>
            <w:pPr>
              <w:pStyle w:val="Compact"/>
              <w:jc w:val="left"/>
            </w:pPr>
            <w:r>
              <w:t xml:space="preserve">$295.00</w:t>
            </w:r>
          </w:p>
        </w:tc>
        <w:tc>
          <w:tcPr/>
          <w:p>
            <w:pPr>
              <w:pStyle w:val="Compact"/>
              <w:jc w:val="left"/>
            </w:pPr>
            <w:r>
              <w:t xml:space="preserve">$885.00</w:t>
            </w:r>
          </w:p>
        </w:tc>
      </w:tr>
      <w:tr>
        <w:tc>
          <w:tcPr/>
          <w:p>
            <w:pPr>
              <w:pStyle w:val="Compact"/>
              <w:jc w:val="left"/>
            </w:pPr>
            <w:r>
              <w:t xml:space="preserve">4</w:t>
            </w:r>
          </w:p>
        </w:tc>
        <w:tc>
          <w:tcPr/>
          <w:p>
            <w:pPr>
              <w:pStyle w:val="Compact"/>
              <w:jc w:val="left"/>
            </w:pPr>
            <w:r>
              <w:t xml:space="preserve">Foreign exchange and international trade finance consultation. The Banker provided guidance on hedging strategies for the client's import-export operations between Houston, United States and key trading partners in Asia and South America, including forward contract structuring.</w:t>
            </w:r>
          </w:p>
        </w:tc>
        <w:tc>
          <w:tcPr/>
          <w:p>
            <w:pPr>
              <w:pStyle w:val="Compact"/>
              <w:jc w:val="left"/>
            </w:pPr>
            <w:r>
              <w:t xml:space="preserve">Trade Finance</w:t>
            </w:r>
          </w:p>
        </w:tc>
        <w:tc>
          <w:tcPr/>
          <w:p>
            <w:pPr>
              <w:pStyle w:val="Compact"/>
              <w:jc w:val="left"/>
            </w:pPr>
            <w:r>
              <w:t xml:space="preserve">2.5 hrs</w:t>
            </w:r>
          </w:p>
        </w:tc>
        <w:tc>
          <w:tcPr/>
          <w:p>
            <w:pPr>
              <w:pStyle w:val="Compact"/>
              <w:jc w:val="left"/>
            </w:pPr>
            <w:r>
              <w:t xml:space="preserve">$350.00</w:t>
            </w:r>
          </w:p>
        </w:tc>
        <w:tc>
          <w:tcPr/>
          <w:p>
            <w:pPr>
              <w:pStyle w:val="Compact"/>
              <w:jc w:val="left"/>
            </w:pPr>
            <w:r>
              <w:t xml:space="preserve">$875.00</w:t>
            </w:r>
          </w:p>
        </w:tc>
      </w:tr>
      <w:tr>
        <w:tc>
          <w:tcPr/>
          <w:p>
            <w:pPr>
              <w:pStyle w:val="Compact"/>
              <w:jc w:val="left"/>
            </w:pPr>
            <w:r>
              <w:t xml:space="preserve">5</w:t>
            </w:r>
          </w:p>
        </w:tc>
        <w:tc>
          <w:tcPr/>
          <w:p>
            <w:pPr>
              <w:pStyle w:val="Compact"/>
              <w:jc w:val="left"/>
            </w:pPr>
            <w:r>
              <w:t xml:space="preserve">Monthly account reconciliation and transaction monitoring for all commercial accounts held with the institution. The Banker reviewed 1,240 individual transactions, flagged anomalies, and issued a detailed reconciliation report to the client's finance team in Houston.</w:t>
            </w:r>
          </w:p>
        </w:tc>
        <w:tc>
          <w:tcPr/>
          <w:p>
            <w:pPr>
              <w:pStyle w:val="Compact"/>
              <w:jc w:val="left"/>
            </w:pPr>
            <w:r>
              <w:t xml:space="preserve">Account Services</w:t>
            </w:r>
          </w:p>
        </w:tc>
        <w:tc>
          <w:tcPr/>
          <w:p>
            <w:pPr>
              <w:pStyle w:val="Compact"/>
              <w:jc w:val="left"/>
            </w:pPr>
            <w:r>
              <w:t xml:space="preserve">1.0 unit</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6</w:t>
            </w:r>
          </w:p>
        </w:tc>
        <w:tc>
          <w:tcPr/>
          <w:p>
            <w:pPr>
              <w:pStyle w:val="Compact"/>
              <w:jc w:val="left"/>
            </w:pPr>
            <w:r>
              <w:t xml:space="preserve">Executive briefing and strategic planning workshop hosted at the Houston Banker Financial Group headquarters in Houston, United States. The Banker presented macroeconomic outlooks for the Texas energy sector, interest rate projections, and recommended capital deployment strategies for the upcoming fiscal year.</w:t>
            </w:r>
          </w:p>
        </w:tc>
        <w:tc>
          <w:tcPr/>
          <w:p>
            <w:pPr>
              <w:pStyle w:val="Compact"/>
              <w:jc w:val="left"/>
            </w:pPr>
            <w:r>
              <w:t xml:space="preserve">Strategic Advisory</w:t>
            </w:r>
          </w:p>
        </w:tc>
        <w:tc>
          <w:tcPr/>
          <w:p>
            <w:pPr>
              <w:pStyle w:val="Compact"/>
              <w:jc w:val="left"/>
            </w:pPr>
            <w:r>
              <w:t xml:space="preserve">3.0 hrs</w:t>
            </w:r>
          </w:p>
        </w:tc>
        <w:tc>
          <w:tcPr/>
          <w:p>
            <w:pPr>
              <w:pStyle w:val="Compact"/>
              <w:jc w:val="left"/>
            </w:pPr>
            <w:r>
              <w:t xml:space="preserve">$400.00</w:t>
            </w:r>
          </w:p>
        </w:tc>
        <w:tc>
          <w:tcPr/>
          <w:p>
            <w:pPr>
              <w:pStyle w:val="Compact"/>
              <w:jc w:val="left"/>
            </w:pPr>
            <w:r>
              <w:t xml:space="preserve">$1,200.00</w:t>
            </w:r>
          </w:p>
        </w:tc>
      </w:tr>
      <w:tr>
        <w:tc>
          <w:tcPr/>
          <w:p>
            <w:pPr>
              <w:pStyle w:val="Compact"/>
              <w:jc w:val="left"/>
            </w:pPr>
            <w:r>
              <w:t xml:space="preserve">7</w:t>
            </w:r>
          </w:p>
        </w:tc>
        <w:tc>
          <w:tcPr/>
          <w:p>
            <w:pPr>
              <w:pStyle w:val="Compact"/>
              <w:jc w:val="left"/>
            </w:pPr>
            <w:r>
              <w:t xml:space="preserve">Document preparation and notarization services for a commercial real estate acquisition financing package. The Banker coordinated with legal counsel in Houston, United States to finalize all loan documentation, promissory notes, and security instruments.</w:t>
            </w:r>
          </w:p>
        </w:tc>
        <w:tc>
          <w:tcPr/>
          <w:p>
            <w:pPr>
              <w:pStyle w:val="Compact"/>
              <w:jc w:val="left"/>
            </w:pPr>
            <w:r>
              <w:t xml:space="preserve">Document Services</w:t>
            </w:r>
          </w:p>
        </w:tc>
        <w:tc>
          <w:tcPr/>
          <w:p>
            <w:pPr>
              <w:pStyle w:val="Compact"/>
              <w:jc w:val="left"/>
            </w:pPr>
            <w:r>
              <w:t xml:space="preserve">2.0 hrs</w:t>
            </w:r>
          </w:p>
        </w:tc>
        <w:tc>
          <w:tcPr/>
          <w:p>
            <w:pPr>
              <w:pStyle w:val="Compact"/>
              <w:jc w:val="left"/>
            </w:pPr>
            <w:r>
              <w:t xml:space="preserve">$275.00</w:t>
            </w:r>
          </w:p>
        </w:tc>
        <w:tc>
          <w:tcPr/>
          <w:p>
            <w:pPr>
              <w:pStyle w:val="Compact"/>
              <w:jc w:val="left"/>
            </w:pPr>
            <w:r>
              <w:t xml:space="preserve">$550.00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$8,347.50</w:t>
            </w:r>
          </w:p>
        </w:tc>
      </w:tr>
      <w:tr>
        <w:tc>
          <w:tcPr/>
          <w:p>
            <w:pPr>
              <w:pStyle w:val="Compact"/>
              <w:jc w:val="left"/>
            </w:pPr>
            <w:r>
              <w:t xml:space="preserve">Applicable Sales &amp; Service Tax (8.25% – Harris County, Houston, TX)</w:t>
            </w:r>
          </w:p>
        </w:tc>
        <w:tc>
          <w:tcPr/>
          <w:p>
            <w:pPr>
              <w:pStyle w:val="Compact"/>
              <w:jc w:val="left"/>
            </w:pPr>
            <w:r>
              <w:t xml:space="preserve">$688.66</w:t>
            </w:r>
          </w:p>
        </w:tc>
      </w:tr>
      <w:tr>
        <w:tc>
          <w:tcPr/>
          <w:p>
            <w:pPr>
              <w:pStyle w:val="Compact"/>
              <w:jc w:val="left"/>
            </w:pPr>
            <w:r>
              <w:t xml:space="preserve">Wire Transfer Processing Fee</w:t>
            </w:r>
          </w:p>
        </w:tc>
        <w:tc>
          <w:tcPr/>
          <w:p>
            <w:pPr>
              <w:pStyle w:val="Compact"/>
              <w:jc w:val="left"/>
            </w:pPr>
            <w:r>
              <w:t xml:space="preserve">$25.00</w:t>
            </w:r>
          </w:p>
        </w:tc>
      </w:tr>
      <w:tr>
        <w:tc>
          <w:tcPr/>
          <w:p>
            <w:pPr>
              <w:pStyle w:val="Compact"/>
              <w:jc w:val="left"/>
            </w:pPr>
            <w:r>
              <w:t xml:space="preserve">Grand Total Due</w:t>
            </w:r>
          </w:p>
        </w:tc>
        <w:tc>
          <w:tcPr/>
          <w:p>
            <w:pPr>
              <w:pStyle w:val="Compact"/>
              <w:jc w:val="left"/>
            </w:pPr>
            <w:r>
              <w:t xml:space="preserve">$9,061.16</w:t>
            </w:r>
          </w:p>
        </w:tc>
      </w:tr>
    </w:tbl>
    <w:bookmarkStart w:id="24" w:name="payment-terms-instructions"/>
    <w:p>
      <w:pPr>
        <w:pStyle w:val="Heading3"/>
      </w:pPr>
      <w:r>
        <w:t xml:space="preserve">Payment Terms &amp; Instructions</w:t>
      </w:r>
    </w:p>
    <w:p>
      <w:pPr>
        <w:pStyle w:val="FirstParagraph"/>
      </w:pPr>
      <w:r>
        <w:rPr>
          <w:bCs/>
          <w:b/>
        </w:rPr>
        <w:t xml:space="preserve">Payment Due:</w:t>
      </w:r>
      <w:r>
        <w:t xml:space="preserve"> </w:t>
      </w:r>
      <w:r>
        <w:t xml:space="preserve">This Invoice is payable within thirty (30) calendar days of the Invoice date, no later than July 15, 2025. Late payments will accrue interest at a rate of 1.5% per month, in accordance with Texas Business &amp; Commerce Code Section 2412.</w:t>
      </w:r>
    </w:p>
    <w:p>
      <w:pPr>
        <w:pStyle w:val="BodyText"/>
      </w:pPr>
      <w:r>
        <w:rPr>
          <w:bCs/>
          <w:b/>
        </w:rPr>
        <w:t xml:space="preserve">Payment Method:</w:t>
      </w:r>
      <w:r>
        <w:t xml:space="preserve"> </w:t>
      </w:r>
      <w:r>
        <w:t xml:space="preserve">Please remit payment via ACH wire transfer to Houston Banker Financial Group, Account No. 4471-8829-003, Routing No. 121000248, Bank of Houston, United States. Alternatively, checks may be mailed to the billing address listed above.</w:t>
      </w:r>
    </w:p>
    <w:p>
      <w:pPr>
        <w:pStyle w:val="BodyText"/>
      </w:pPr>
      <w:r>
        <w:rPr>
          <w:bCs/>
          <w:b/>
        </w:rPr>
        <w:t xml:space="preserve">Reference:</w:t>
      </w:r>
      <w:r>
        <w:t xml:space="preserve"> </w:t>
      </w:r>
      <w:r>
        <w:t xml:space="preserve">Please reference Invoice Number HBF-2025-04872 on all remittances to ensure proper allocation to your account.</w:t>
      </w:r>
    </w:p>
    <w:p>
      <w:pPr>
        <w:pStyle w:val="BodyText"/>
      </w:pPr>
      <w:r>
        <w:rPr>
          <w:bCs/>
          <w:b/>
        </w:rPr>
        <w:t xml:space="preserve">Disputes:</w:t>
      </w:r>
      <w:r>
        <w:t xml:space="preserve"> </w:t>
      </w:r>
      <w:r>
        <w:t xml:space="preserve">Any discrepancies regarding this Invoice must be reported in writing to the undersigned Banker within ten (10) business days of receipt. Failure to dispute within this period constitutes acceptance of the charges listed herein.</w:t>
      </w:r>
    </w:p>
    <w:bookmarkEnd w:id="24"/>
    <w:bookmarkStart w:id="25" w:name="additional-notes"/>
    <w:p>
      <w:pPr>
        <w:pStyle w:val="Heading3"/>
      </w:pPr>
      <w:r>
        <w:t xml:space="preserve">Additional Notes</w:t>
      </w:r>
    </w:p>
    <w:p>
      <w:pPr>
        <w:pStyle w:val="FirstParagraph"/>
      </w:pPr>
      <w:r>
        <w:t xml:space="preserve">This Invoice has been issued by Jonathan M. Whitfield, a licensed Banker in good standing with the Texas Department of Banking, in connection with professional financial services rendered to Meridian Industrial Holdings, LLC. All services were performed at or on behalf of the Houston Banker Financial Group office located in Houston, Texas, United States.</w:t>
      </w:r>
    </w:p>
    <w:p>
      <w:pPr>
        <w:pStyle w:val="BodyText"/>
      </w:pPr>
      <w:r>
        <w:t xml:space="preserve">The Banker confirms that all advisory services described in this Invoice were conducted in full compliance with the Gramm-Leach-Bliley Act, the Securities Exchange Act of 1934, and applicable Texas state banking regulations. Client information and transaction details referenced in this document are protected under the Bank Secrecy Act and the institution's confidentiality policies.</w:t>
      </w:r>
    </w:p>
    <w:p>
      <w:pPr>
        <w:pStyle w:val="BodyText"/>
      </w:pPr>
      <w:r>
        <w:t xml:space="preserve">Should the client require additional banking services, a revised or supplemental Invoice will be issued separately. This Invoice does not constitute a guarantee of investment performance or a commitment to extend further credit facilities beyond the terms previously agreed upon in the Master Banking Agreement dated March 1, 2024.</w:t>
      </w:r>
    </w:p>
    <w:bookmarkEnd w:id="25"/>
    <w:p>
      <w:pPr>
        <w:pStyle w:val="BodyText"/>
      </w:pPr>
      <w:r>
        <w:rPr>
          <w:bCs/>
          <w:b/>
        </w:rPr>
        <w:t xml:space="preserve">Houston Banker Financial Group</w:t>
      </w:r>
      <w:r>
        <w:t xml:space="preserve"> </w:t>
      </w:r>
      <w:r>
        <w:t xml:space="preserve">| 4500 Smith Street, Suite 2100, Houston, Texas 77002, United States</w:t>
      </w:r>
    </w:p>
    <w:p>
      <w:pPr>
        <w:pStyle w:val="BodyText"/>
      </w:pPr>
      <w:r>
        <w:t xml:space="preserve">Member FDIC | Equal Housing Lender | NMLS ID: 1847293</w:t>
      </w:r>
    </w:p>
    <w:p>
      <w:pPr>
        <w:pStyle w:val="BodyText"/>
      </w:pPr>
      <w:r>
        <w:t xml:space="preserve">This Invoice is a legally binding document. For questions, contact the issuing Banker at (713) 555-0147 or billing@houstonbankerfg.com.</w:t>
      </w:r>
    </w:p>
    <w:p>
      <w:pPr>
        <w:pStyle w:val="BodyText"/>
      </w:pPr>
      <w:r>
        <w:t xml:space="preserve">© 2025 Houston Banker Financial Group. All rights reserved. Invoice HBF-2025-04872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Banker Financial Services - United States Houston</dc:title>
  <dc:creator/>
  <dc:language>en</dc:language>
  <cp:keywords/>
  <dcterms:created xsi:type="dcterms:W3CDTF">2026-10-10T08:42:17Z</dcterms:created>
  <dcterms:modified xsi:type="dcterms:W3CDTF">2026-10-10T08:42:17Z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