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Pacific</w:t>
      </w:r>
      <w:r>
        <w:t xml:space="preserve"> </w:t>
      </w:r>
      <w:r>
        <w:t xml:space="preserve">Meridian</w:t>
      </w:r>
      <w:r>
        <w:t xml:space="preserve"> </w:t>
      </w:r>
      <w:r>
        <w:t xml:space="preserve">Banking</w:t>
      </w:r>
      <w:r>
        <w:t xml:space="preserve"> </w:t>
      </w:r>
      <w:r>
        <w:t xml:space="preserve">Group</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acific-meridian-banking-group"/>
    <w:p>
      <w:pPr>
        <w:pStyle w:val="Heading1"/>
      </w:pPr>
      <w:r>
        <w:t xml:space="preserve">Pacific Meridian Banking Group</w:t>
      </w:r>
    </w:p>
    <w:p>
      <w:pPr>
        <w:pStyle w:val="FirstParagraph"/>
      </w:pPr>
      <w:r>
        <w:t xml:space="preserve">1200 Wilshire Boulevard, Suite 4800</w:t>
      </w:r>
    </w:p>
    <w:p>
      <w:pPr>
        <w:pStyle w:val="BodyText"/>
      </w:pPr>
      <w:r>
        <w:t xml:space="preserve">Los Angeles, California 90017</w:t>
      </w:r>
    </w:p>
    <w:p>
      <w:pPr>
        <w:pStyle w:val="BodyText"/>
      </w:pPr>
      <w:r>
        <w:t xml:space="preserve">United States of America</w:t>
      </w:r>
    </w:p>
    <w:p>
      <w:pPr>
        <w:pStyle w:val="BodyText"/>
      </w:pPr>
      <w:r>
        <w:t xml:space="preserve">Tel: (213) 555-0147 | Fax: (213) 555-0148</w:t>
      </w:r>
    </w:p>
    <w:p>
      <w:pPr>
        <w:pStyle w:val="BodyText"/>
      </w:pPr>
      <w:r>
        <w:t xml:space="preserve">Email: billing@pacificmeridianbank.com</w:t>
      </w:r>
    </w:p>
    <w:p>
      <w:pPr>
        <w:pStyle w:val="BodyText"/>
      </w:pPr>
      <w:r>
        <w:t xml:space="preserve">CA Financial Institution License No. 48291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PMBG-2025-04872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w:t>
      </w:r>
    </w:p>
    <w:p>
      <w:pPr>
        <w:pStyle w:val="BodyText"/>
      </w:pPr>
      <w:r>
        <w:t xml:space="preserve">Banker Services</w:t>
      </w:r>
    </w:p>
    <w:bookmarkEnd w:id="21"/>
    <w:bookmarkStart w:id="22" w:name="bill-to"/>
    <w:p>
      <w:pPr>
        <w:pStyle w:val="Heading3"/>
      </w:pPr>
      <w:r>
        <w:t xml:space="preserve">Bill To</w:t>
      </w:r>
    </w:p>
    <w:p>
      <w:pPr>
        <w:pStyle w:val="FirstParagraph"/>
      </w:pPr>
      <w:r>
        <w:rPr>
          <w:bCs/>
          <w:b/>
        </w:rPr>
        <w:t xml:space="preserve">Harold J. Whitfield, Esq.</w:t>
      </w:r>
    </w:p>
    <w:p>
      <w:pPr>
        <w:pStyle w:val="BodyText"/>
      </w:pPr>
      <w:r>
        <w:t xml:space="preserve">Whitfield Capital Partners LLC</w:t>
      </w:r>
    </w:p>
    <w:p>
      <w:pPr>
        <w:pStyle w:val="BodyText"/>
      </w:pPr>
      <w:r>
        <w:t xml:space="preserve">8887 Wilshire Boulevard, Floor 22</w:t>
      </w:r>
    </w:p>
    <w:p>
      <w:pPr>
        <w:pStyle w:val="BodyText"/>
      </w:pPr>
      <w:r>
        <w:t xml:space="preserve">Beverly Hills, Los Angeles, California 90211</w:t>
      </w:r>
    </w:p>
    <w:p>
      <w:pPr>
        <w:pStyle w:val="BodyText"/>
      </w:pPr>
      <w:r>
        <w:t xml:space="preserve">United States of America</w:t>
      </w:r>
    </w:p>
    <w:p>
      <w:pPr>
        <w:pStyle w:val="BodyText"/>
      </w:pPr>
      <w:r>
        <w:t xml:space="preserve">Tax ID (EIN): 84-2917365</w:t>
      </w:r>
    </w:p>
    <w:bookmarkEnd w:id="22"/>
    <w:bookmarkStart w:id="23" w:name="prepared-by-banker"/>
    <w:p>
      <w:pPr>
        <w:pStyle w:val="Heading3"/>
      </w:pPr>
      <w:r>
        <w:t xml:space="preserve">Prepared By (Banker)</w:t>
      </w:r>
    </w:p>
    <w:p>
      <w:pPr>
        <w:pStyle w:val="FirstParagraph"/>
      </w:pPr>
      <w:r>
        <w:rPr>
          <w:bCs/>
          <w:b/>
        </w:rPr>
        <w:t xml:space="preserve">Ms. Eleanor V. Castellano, CFA, CFP</w:t>
      </w:r>
    </w:p>
    <w:p>
      <w:pPr>
        <w:pStyle w:val="BodyText"/>
      </w:pPr>
      <w:r>
        <w:t xml:space="preserve">Senior Private Banker &amp; Portfolio Advisor</w:t>
      </w:r>
    </w:p>
    <w:p>
      <w:pPr>
        <w:pStyle w:val="BodyText"/>
      </w:pPr>
      <w:r>
        <w:t xml:space="preserve">Pacific Meridian Banking Group</w:t>
      </w:r>
    </w:p>
    <w:p>
      <w:pPr>
        <w:pStyle w:val="BodyText"/>
      </w:pPr>
      <w:r>
        <w:t xml:space="preserve">Los Angeles, California 90017</w:t>
      </w:r>
    </w:p>
    <w:p>
      <w:pPr>
        <w:pStyle w:val="BodyText"/>
      </w:pPr>
      <w:r>
        <w:t xml:space="preserve">United States of America</w:t>
      </w:r>
    </w:p>
    <w:p>
      <w:pPr>
        <w:pStyle w:val="BodyText"/>
      </w:pPr>
      <w:r>
        <w:t xml:space="preserve">NMLS ID: 1847293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wealth management consultation and portfolio restructuring for the Whitfield Capital Partners LLC investment portfolio, conducted by the assigned Senior Banker at our Los Angeles, California office.</w:t>
            </w:r>
          </w:p>
        </w:tc>
        <w:tc>
          <w:tcPr/>
          <w:p>
            <w:pPr>
              <w:pStyle w:val="Compact"/>
              <w:jc w:val="left"/>
            </w:pPr>
            <w:r>
              <w:t xml:space="preserve">Advisory</w:t>
            </w:r>
          </w:p>
        </w:tc>
        <w:tc>
          <w:tcPr/>
          <w:p>
            <w:pPr>
              <w:pStyle w:val="Compact"/>
              <w:jc w:val="left"/>
            </w:pPr>
            <w:r>
              <w:t xml:space="preserve">6.5 hrs</w:t>
            </w:r>
          </w:p>
        </w:tc>
        <w:tc>
          <w:tcPr/>
          <w:p>
            <w:pPr>
              <w:pStyle w:val="Compact"/>
              <w:jc w:val="left"/>
            </w:pPr>
            <w:r>
              <w:t xml:space="preserve">$450.00</w:t>
            </w:r>
          </w:p>
        </w:tc>
        <w:tc>
          <w:tcPr/>
          <w:p>
            <w:pPr>
              <w:pStyle w:val="Compact"/>
              <w:jc w:val="left"/>
            </w:pPr>
            <w:r>
              <w:t xml:space="preserve">$2,925.00</w:t>
            </w:r>
          </w:p>
        </w:tc>
      </w:tr>
      <w:tr>
        <w:tc>
          <w:tcPr/>
          <w:p>
            <w:pPr>
              <w:pStyle w:val="Compact"/>
              <w:jc w:val="left"/>
            </w:pPr>
            <w:r>
              <w:t xml:space="preserve">2</w:t>
            </w:r>
          </w:p>
        </w:tc>
        <w:tc>
          <w:tcPr/>
          <w:p>
            <w:pPr>
              <w:pStyle w:val="Compact"/>
              <w:jc w:val="left"/>
            </w:pPr>
            <w:r>
              <w:t xml:space="preserve">Commercial loan origination and underwriting services for a $12,000,000 real estate acquisition facility in the Los Angeles metropolitan area, including credit analysis, collateral appraisal coordination, and term sheet preparation.</w:t>
            </w:r>
          </w:p>
        </w:tc>
        <w:tc>
          <w:tcPr/>
          <w:p>
            <w:pPr>
              <w:pStyle w:val="Compact"/>
              <w:jc w:val="left"/>
            </w:pPr>
            <w:r>
              <w:t xml:space="preserve">Lending</w:t>
            </w:r>
          </w:p>
        </w:tc>
        <w:tc>
          <w:tcPr/>
          <w:p>
            <w:pPr>
              <w:pStyle w:val="Compact"/>
              <w:jc w:val="left"/>
            </w:pPr>
            <w:r>
              <w:t xml:space="preserve">14.0 hrs</w:t>
            </w:r>
          </w:p>
        </w:tc>
        <w:tc>
          <w:tcPr/>
          <w:p>
            <w:pPr>
              <w:pStyle w:val="Compact"/>
              <w:jc w:val="left"/>
            </w:pPr>
            <w:r>
              <w:t xml:space="preserve">$425.00</w:t>
            </w:r>
          </w:p>
        </w:tc>
        <w:tc>
          <w:tcPr/>
          <w:p>
            <w:pPr>
              <w:pStyle w:val="Compact"/>
              <w:jc w:val="left"/>
            </w:pPr>
            <w:r>
              <w:t xml:space="preserve">$5,950.00</w:t>
            </w:r>
          </w:p>
        </w:tc>
      </w:tr>
      <w:tr>
        <w:tc>
          <w:tcPr/>
          <w:p>
            <w:pPr>
              <w:pStyle w:val="Compact"/>
              <w:jc w:val="left"/>
            </w:pPr>
            <w:r>
              <w:t xml:space="preserve">3</w:t>
            </w:r>
          </w:p>
        </w:tc>
        <w:tc>
          <w:tcPr/>
          <w:p>
            <w:pPr>
              <w:pStyle w:val="Compact"/>
              <w:jc w:val="left"/>
            </w:pPr>
            <w:r>
              <w:t xml:space="preserve">Quarterly tax-advantaged estate planning review and trust structuring advisory in compliance with California state law and United States federal tax regulations, prepared by the designated Banker.</w:t>
            </w:r>
          </w:p>
        </w:tc>
        <w:tc>
          <w:tcPr/>
          <w:p>
            <w:pPr>
              <w:pStyle w:val="Compact"/>
              <w:jc w:val="left"/>
            </w:pPr>
            <w:r>
              <w:t xml:space="preserve">Estate Planning</w:t>
            </w:r>
          </w:p>
        </w:tc>
        <w:tc>
          <w:tcPr/>
          <w:p>
            <w:pPr>
              <w:pStyle w:val="Compact"/>
              <w:jc w:val="left"/>
            </w:pPr>
            <w:r>
              <w:t xml:space="preserve">4.0 hrs</w:t>
            </w:r>
          </w:p>
        </w:tc>
        <w:tc>
          <w:tcPr/>
          <w:p>
            <w:pPr>
              <w:pStyle w:val="Compact"/>
              <w:jc w:val="left"/>
            </w:pPr>
            <w:r>
              <w:t xml:space="preserve">$475.00</w:t>
            </w:r>
          </w:p>
        </w:tc>
        <w:tc>
          <w:tcPr/>
          <w:p>
            <w:pPr>
              <w:pStyle w:val="Compact"/>
              <w:jc w:val="left"/>
            </w:pPr>
            <w:r>
              <w:t xml:space="preserve">$1,900.00</w:t>
            </w:r>
          </w:p>
        </w:tc>
      </w:tr>
      <w:tr>
        <w:tc>
          <w:tcPr/>
          <w:p>
            <w:pPr>
              <w:pStyle w:val="Compact"/>
              <w:jc w:val="left"/>
            </w:pPr>
            <w:r>
              <w:t xml:space="preserve">4</w:t>
            </w:r>
          </w:p>
        </w:tc>
        <w:tc>
          <w:tcPr/>
          <w:p>
            <w:pPr>
              <w:pStyle w:val="Compact"/>
              <w:jc w:val="left"/>
            </w:pPr>
            <w:r>
              <w:t xml:space="preserve">Currency exchange and international wire transfer facilitation for cross-border transactions between the client's Los Angeles, United States accounts and correspondent banking institutions in the European Union and Asia-Pacific region.</w:t>
            </w:r>
          </w:p>
        </w:tc>
        <w:tc>
          <w:tcPr/>
          <w:p>
            <w:pPr>
              <w:pStyle w:val="Compact"/>
              <w:jc w:val="left"/>
            </w:pPr>
            <w:r>
              <w:t xml:space="preserve">International Banking</w:t>
            </w:r>
          </w:p>
        </w:tc>
        <w:tc>
          <w:tcPr/>
          <w:p>
            <w:pPr>
              <w:pStyle w:val="Compact"/>
              <w:jc w:val="left"/>
            </w:pPr>
            <w:r>
              <w:t xml:space="preserve">3.5 hrs</w:t>
            </w:r>
          </w:p>
        </w:tc>
        <w:tc>
          <w:tcPr/>
          <w:p>
            <w:pPr>
              <w:pStyle w:val="Compact"/>
              <w:jc w:val="left"/>
            </w:pPr>
            <w:r>
              <w:t xml:space="preserve">$395.00</w:t>
            </w:r>
          </w:p>
        </w:tc>
        <w:tc>
          <w:tcPr/>
          <w:p>
            <w:pPr>
              <w:pStyle w:val="Compact"/>
              <w:jc w:val="left"/>
            </w:pPr>
            <w:r>
              <w:t xml:space="preserve">$1,382.50</w:t>
            </w:r>
          </w:p>
        </w:tc>
      </w:tr>
      <w:tr>
        <w:tc>
          <w:tcPr/>
          <w:p>
            <w:pPr>
              <w:pStyle w:val="Compact"/>
              <w:jc w:val="left"/>
            </w:pPr>
            <w:r>
              <w:t xml:space="preserve">5</w:t>
            </w:r>
          </w:p>
        </w:tc>
        <w:tc>
          <w:tcPr/>
          <w:p>
            <w:pPr>
              <w:pStyle w:val="Compact"/>
              <w:jc w:val="left"/>
            </w:pPr>
            <w:r>
              <w:t xml:space="preserve">Regulatory compliance audit and anti-money laundering (AML) documentation review for the client's corporate banking relationship, conducted in accordance with the Bank Secrecy Act and California Financial Code.</w:t>
            </w:r>
          </w:p>
        </w:tc>
        <w:tc>
          <w:tcPr/>
          <w:p>
            <w:pPr>
              <w:pStyle w:val="Compact"/>
              <w:jc w:val="left"/>
            </w:pPr>
            <w:r>
              <w:t xml:space="preserve">Compliance</w:t>
            </w:r>
          </w:p>
        </w:tc>
        <w:tc>
          <w:tcPr/>
          <w:p>
            <w:pPr>
              <w:pStyle w:val="Compact"/>
              <w:jc w:val="left"/>
            </w:pPr>
            <w:r>
              <w:t xml:space="preserve">5.0 hrs</w:t>
            </w:r>
          </w:p>
        </w:tc>
        <w:tc>
          <w:tcPr/>
          <w:p>
            <w:pPr>
              <w:pStyle w:val="Compact"/>
              <w:jc w:val="left"/>
            </w:pPr>
            <w:r>
              <w:t xml:space="preserve">$410.00</w:t>
            </w:r>
          </w:p>
        </w:tc>
        <w:tc>
          <w:tcPr/>
          <w:p>
            <w:pPr>
              <w:pStyle w:val="Compact"/>
              <w:jc w:val="left"/>
            </w:pPr>
            <w:r>
              <w:t xml:space="preserve">$2,050.00</w:t>
            </w:r>
          </w:p>
        </w:tc>
      </w:tr>
      <w:tr>
        <w:tc>
          <w:tcPr/>
          <w:p>
            <w:pPr>
              <w:pStyle w:val="Compact"/>
              <w:jc w:val="left"/>
            </w:pPr>
            <w:r>
              <w:t xml:space="preserve">6</w:t>
            </w:r>
          </w:p>
        </w:tc>
        <w:tc>
          <w:tcPr/>
          <w:p>
            <w:pPr>
              <w:pStyle w:val="Compact"/>
              <w:jc w:val="left"/>
            </w:pPr>
            <w:r>
              <w:t xml:space="preserve">Annual financial statement preparation, balance sheet reconciliation, and cash flow forecasting for the fiscal year ending December 31, 2024, delivered by the assigned Banker to the client's Los Angeles headquarters.</w:t>
            </w:r>
          </w:p>
        </w:tc>
        <w:tc>
          <w:tcPr/>
          <w:p>
            <w:pPr>
              <w:pStyle w:val="Compact"/>
              <w:jc w:val="left"/>
            </w:pPr>
            <w:r>
              <w:t xml:space="preserve">Financial Reporting</w:t>
            </w:r>
          </w:p>
        </w:tc>
        <w:tc>
          <w:tcPr/>
          <w:p>
            <w:pPr>
              <w:pStyle w:val="Compact"/>
              <w:jc w:val="left"/>
            </w:pPr>
            <w:r>
              <w:t xml:space="preserve">8.0 hrs</w:t>
            </w:r>
          </w:p>
        </w:tc>
        <w:tc>
          <w:tcPr/>
          <w:p>
            <w:pPr>
              <w:pStyle w:val="Compact"/>
              <w:jc w:val="left"/>
            </w:pPr>
            <w:r>
              <w:t xml:space="preserve">$430.00</w:t>
            </w:r>
          </w:p>
        </w:tc>
        <w:tc>
          <w:tcPr/>
          <w:p>
            <w:pPr>
              <w:pStyle w:val="Compact"/>
              <w:jc w:val="left"/>
            </w:pPr>
            <w:r>
              <w:t xml:space="preserve">$3,440.00</w:t>
            </w:r>
          </w:p>
        </w:tc>
      </w:tr>
      <w:tr>
        <w:tc>
          <w:tcPr/>
          <w:p>
            <w:pPr>
              <w:pStyle w:val="Compact"/>
              <w:jc w:val="left"/>
            </w:pPr>
            <w:r>
              <w:t xml:space="preserve">7</w:t>
            </w:r>
          </w:p>
        </w:tc>
        <w:tc>
          <w:tcPr/>
          <w:p>
            <w:pPr>
              <w:pStyle w:val="Compact"/>
              <w:jc w:val="left"/>
            </w:pPr>
            <w:r>
              <w:t xml:space="preserve">Private placement memorandum (PPM) review and syndication coordination for a $5,000,000 mezzanine debt offering targeting institutional investors in the Los Angeles, California financial district.</w:t>
            </w:r>
          </w:p>
        </w:tc>
        <w:tc>
          <w:tcPr/>
          <w:p>
            <w:pPr>
              <w:pStyle w:val="Compact"/>
              <w:jc w:val="left"/>
            </w:pPr>
            <w:r>
              <w:t xml:space="preserve">Capital Markets</w:t>
            </w:r>
          </w:p>
        </w:tc>
        <w:tc>
          <w:tcPr/>
          <w:p>
            <w:pPr>
              <w:pStyle w:val="Compact"/>
              <w:jc w:val="left"/>
            </w:pPr>
            <w:r>
              <w:t xml:space="preserve">7.5 hrs</w:t>
            </w:r>
          </w:p>
        </w:tc>
        <w:tc>
          <w:tcPr/>
          <w:p>
            <w:pPr>
              <w:pStyle w:val="Compact"/>
              <w:jc w:val="left"/>
            </w:pPr>
            <w:r>
              <w:t xml:space="preserve">$460.00</w:t>
            </w:r>
          </w:p>
        </w:tc>
        <w:tc>
          <w:tcPr/>
          <w:p>
            <w:pPr>
              <w:pStyle w:val="Compact"/>
              <w:jc w:val="left"/>
            </w:pPr>
            <w:r>
              <w:t xml:space="preserve">$3,450.00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$21,097.50</w:t>
            </w:r>
          </w:p>
        </w:tc>
      </w:tr>
      <w:tr>
        <w:tc>
          <w:tcPr/>
          <w:p>
            <w:pPr>
              <w:pStyle w:val="Compact"/>
              <w:jc w:val="left"/>
            </w:pPr>
            <w:r>
              <w:t xml:space="preserve">California State Sales &amp; Use Tax (7.25%)</w:t>
            </w:r>
          </w:p>
        </w:tc>
        <w:tc>
          <w:tcPr/>
          <w:p>
            <w:pPr>
              <w:pStyle w:val="Compact"/>
              <w:jc w:val="right"/>
            </w:pPr>
            <w:r>
              <w:t xml:space="preserve">$1,529.57</w:t>
            </w:r>
          </w:p>
        </w:tc>
      </w:tr>
      <w:tr>
        <w:tc>
          <w:tcPr/>
          <w:p>
            <w:pPr>
              <w:pStyle w:val="Compact"/>
              <w:jc w:val="left"/>
            </w:pPr>
            <w:r>
              <w:t xml:space="preserve">Los Angeles County Municipal Tax (0.30%)</w:t>
            </w:r>
          </w:p>
        </w:tc>
        <w:tc>
          <w:tcPr/>
          <w:p>
            <w:pPr>
              <w:pStyle w:val="Compact"/>
              <w:jc w:val="right"/>
            </w:pPr>
            <w:r>
              <w:t xml:space="preserve">$63.29</w:t>
            </w:r>
          </w:p>
        </w:tc>
      </w:tr>
      <w:tr>
        <w:tc>
          <w:tcPr/>
          <w:p>
            <w:pPr>
              <w:pStyle w:val="Compact"/>
              <w:jc w:val="left"/>
            </w:pPr>
            <w:r>
              <w:t xml:space="preserve">Wire Transfer Processing Fee</w:t>
            </w:r>
          </w:p>
        </w:tc>
        <w:tc>
          <w:tcPr/>
          <w:p>
            <w:pPr>
              <w:pStyle w:val="Compact"/>
              <w:jc w:val="right"/>
            </w:pPr>
            <w:r>
              <w:t xml:space="preserve">$150.00</w:t>
            </w:r>
          </w:p>
        </w:tc>
      </w:tr>
      <w:tr>
        <w:tc>
          <w:tcPr/>
          <w:p>
            <w:pPr>
              <w:pStyle w:val="Compact"/>
              <w:jc w:val="left"/>
            </w:pPr>
            <w:r>
              <w:t xml:space="preserve">Grand Total Due</w:t>
            </w:r>
          </w:p>
        </w:tc>
        <w:tc>
          <w:tcPr/>
          <w:p>
            <w:pPr>
              <w:pStyle w:val="Compact"/>
              <w:jc w:val="right"/>
            </w:pPr>
            <w:r>
              <w:t xml:space="preserve">$22,840.36</w:t>
            </w:r>
          </w:p>
        </w:tc>
      </w:tr>
    </w:tbl>
    <w:bookmarkStart w:id="24" w:name="payment-terms-instructions"/>
    <w:p>
      <w:pPr>
        <w:pStyle w:val="Heading3"/>
      </w:pPr>
      <w:r>
        <w:t xml:space="preserve">Payment Terms &amp; Instructions</w:t>
      </w:r>
    </w:p>
    <w:p>
      <w:pPr>
        <w:pStyle w:val="FirstParagraph"/>
      </w:pPr>
      <w:r>
        <w:t xml:space="preserve">This invoice is issued by Pacific Meridian Banking Group, a licensed financial institution headquartered in Los Angeles, California, United States. All banking and advisory services rendered by our Banker team are subject to the terms outlined below.</w:t>
      </w:r>
    </w:p>
    <w:p>
      <w:pPr>
        <w:numPr>
          <w:ilvl w:val="0"/>
          <w:numId w:val="1001"/>
        </w:numPr>
        <w:pStyle w:val="Compact"/>
      </w:pPr>
      <w:r>
        <w:rPr>
          <w:bCs/>
          <w:b/>
        </w:rPr>
        <w:t xml:space="preserve">Payment Due:</w:t>
      </w:r>
      <w:r>
        <w:t xml:space="preserve"> </w:t>
      </w:r>
      <w:r>
        <w:t xml:space="preserve">Full payment of $22,840.36 USD is due within thirty (30) calendar days of the issue date, no later than July 12, 2025.</w:t>
      </w:r>
    </w:p>
    <w:p>
      <w:pPr>
        <w:numPr>
          <w:ilvl w:val="0"/>
          <w:numId w:val="1001"/>
        </w:numPr>
        <w:pStyle w:val="Compact"/>
      </w:pPr>
      <w:r>
        <w:rPr>
          <w:bCs/>
          <w:b/>
        </w:rPr>
        <w:t xml:space="preserve">Payment Method:</w:t>
      </w:r>
      <w:r>
        <w:t xml:space="preserve"> </w:t>
      </w:r>
      <w:r>
        <w:t xml:space="preserve">Please remit payment via ACH transfer, wire transfer, or certified check payable to "Pacific Meridian Banking Group." Wire instructions are available upon request from your assigned Banker.</w:t>
      </w:r>
    </w:p>
    <w:p>
      <w:pPr>
        <w:numPr>
          <w:ilvl w:val="0"/>
          <w:numId w:val="1001"/>
        </w:numPr>
        <w:pStyle w:val="Compact"/>
      </w:pPr>
      <w:r>
        <w:rPr>
          <w:bCs/>
          <w:b/>
        </w:rPr>
        <w:t xml:space="preserve">Banking Details:</w:t>
      </w:r>
      <w:r>
        <w:t xml:space="preserve"> </w:t>
      </w:r>
      <w:r>
        <w:t xml:space="preserve">First Republic Bank, N.A. | Routing No. 021000021 | Account No. 8847-2910-5563 | SWIFT: FRBKUS33</w:t>
      </w:r>
    </w:p>
    <w:p>
      <w:pPr>
        <w:numPr>
          <w:ilvl w:val="0"/>
          <w:numId w:val="1001"/>
        </w:numPr>
        <w:pStyle w:val="Compact"/>
      </w:pPr>
      <w:r>
        <w:rPr>
          <w:bCs/>
          <w:b/>
        </w:rPr>
        <w:t xml:space="preserve">Late Payment:</w:t>
      </w:r>
      <w:r>
        <w:t xml:space="preserve"> </w:t>
      </w:r>
      <w:r>
        <w:t xml:space="preserve">A late fee of 1.5% per month (18% APR) will be applied to any outstanding balance past the due date, in accordance with California Civil Code Section 3289 and the terms of the Master Banking Services Agreement.</w:t>
      </w:r>
    </w:p>
    <w:p>
      <w:pPr>
        <w:numPr>
          <w:ilvl w:val="0"/>
          <w:numId w:val="1001"/>
        </w:numPr>
        <w:pStyle w:val="Compact"/>
      </w:pPr>
      <w:r>
        <w:rPr>
          <w:bCs/>
          <w:b/>
        </w:rPr>
        <w:t xml:space="preserve">Disputes:</w:t>
      </w:r>
      <w:r>
        <w:t xml:space="preserve"> </w:t>
      </w:r>
      <w:r>
        <w:t xml:space="preserve">Any billing discrepancies must be reported in writing to the undersigned Banker within fifteen (15) business days of receipt of this invoice. Unresolved disputes will be governed by the arbitration clause in Section 14 of the Master Agreement, with proceedings held in Los Angeles, California, United States.</w:t>
      </w:r>
    </w:p>
    <w:bookmarkEnd w:id="24"/>
    <w:bookmarkStart w:id="25" w:name="additional-notes"/>
    <w:p>
      <w:pPr>
        <w:pStyle w:val="Heading3"/>
      </w:pPr>
      <w:r>
        <w:t xml:space="preserve">Additional Notes</w:t>
      </w:r>
    </w:p>
    <w:p>
      <w:pPr>
        <w:pStyle w:val="FirstParagraph"/>
      </w:pPr>
      <w:r>
        <w:t xml:space="preserve">This invoice reflects professional banking services provided by Ms. Eleanor V. Castellano, Senior Private Banker, and her support team at Pacific Meridian Banking Group's Los Angeles, California office during the period of March 1, 2025 through May 31, 2025. All services were performed in the United States of America and are subject to applicable federal, California state, and Los Angeles municipal tax obligations. The client acknowledges that all financial advice, loan structuring, and investment recommendations provided by the Banker are based on information supplied by the client and are subject to the disclaimers contained in the Master Banking Services Agreement dated January 15, 2025. This invoice does not constitute a guarantee of investment performance or loan approval. Pacific Meridian Banking Group is a member of the Federal Deposit Insurance Corporation (FDIC) and is regulated by the California Department of Financial Protection and Innovation (DFPI). For questions regarding this invoice or your banking relationship, please contact your assigned Banker directly at (213) 555-0147 or via email at e.castellano@pacificmeridianbank.com. Thank you for your continued trust in our banking services in Los Angeles, United States.</w:t>
      </w:r>
    </w:p>
    <w:bookmarkEnd w:id="25"/>
    <w:p>
      <w:pPr>
        <w:pStyle w:val="BodyText"/>
      </w:pPr>
      <w:r>
        <w:rPr>
          <w:bCs/>
          <w:b/>
        </w:rPr>
        <w:t xml:space="preserve">Pacific Meridian Banking Group</w:t>
      </w:r>
      <w:r>
        <w:t xml:space="preserve"> </w:t>
      </w:r>
      <w:r>
        <w:t xml:space="preserve">| 1200 Wilshire Boulevard, Suite 4800, Los Angeles, California 90017, United States of America</w:t>
      </w:r>
    </w:p>
    <w:p>
      <w:pPr>
        <w:pStyle w:val="BodyText"/>
      </w:pPr>
      <w:r>
        <w:t xml:space="preserve">CA Financial Institution License No. 48291 | FDIC Member | NMLS ID: 1847293 | Registered with the California Department of Financial Protection and Innovation</w:t>
      </w:r>
    </w:p>
    <w:p>
      <w:pPr>
        <w:pStyle w:val="BodyText"/>
      </w:pPr>
      <w:r>
        <w:t xml:space="preserve">This invoice is a legally binding document issued under the laws of the State of California and the United States of America. All disputes shall be resolved in the courts of Los Angeles County, California, or by binding arbitration in Los Angeles, United States.</w:t>
      </w:r>
    </w:p>
    <w:p>
      <w:pPr>
        <w:pStyle w:val="BodyText"/>
      </w:pPr>
      <w:r>
        <w:t xml:space="preserve">Document Reference: PMBG-2025-04872 | Generated: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Pacific Meridian Banking Group - Los Angeles, United States</dc:title>
  <dc:creator/>
  <dc:language>en</dc:language>
  <cp:keywords/>
  <dcterms:created xsi:type="dcterms:W3CDTF">2026-10-10T08:13:42Z</dcterms:created>
  <dcterms:modified xsi:type="dcterms:W3CDTF">2026-10-10T08:13:42Z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