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Banking &amp; Financial Advisory Services</w:t>
      </w:r>
    </w:p>
    <w:bookmarkEnd w:id="20"/>
    <w:bookmarkStart w:id="21" w:name="invoice-number-inv-2025-mia-04872"/>
    <w:p>
      <w:pPr>
        <w:pStyle w:val="Heading3"/>
      </w:pPr>
      <w:r>
        <w:t xml:space="preserve">Invoice Number: INV-2025-MIA-04872</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p>
      <w:pPr>
        <w:pStyle w:val="BodyText"/>
      </w:pPr>
      <w:r>
        <w:t xml:space="preserve">NET 30 DAYS</w:t>
      </w:r>
    </w:p>
    <w:bookmarkEnd w:id="21"/>
    <w:bookmarkStart w:id="22" w:name="issued-by-banker"/>
    <w:p>
      <w:pPr>
        <w:pStyle w:val="Heading4"/>
      </w:pPr>
      <w:r>
        <w:t xml:space="preserve">Issued By (Banker)</w:t>
      </w:r>
    </w:p>
    <w:p>
      <w:pPr>
        <w:pStyle w:val="FirstParagraph"/>
      </w:pPr>
      <w:r>
        <w:rPr>
          <w:bCs/>
          <w:b/>
        </w:rPr>
        <w:t xml:space="preserve">Jonathan R. Castellanos, CFA, CFP</w:t>
      </w:r>
    </w:p>
    <w:p>
      <w:pPr>
        <w:pStyle w:val="BodyText"/>
      </w:pPr>
      <w:r>
        <w:t xml:space="preserve">Senior Banker &amp; Financial Advisor</w:t>
      </w:r>
    </w:p>
    <w:p>
      <w:pPr>
        <w:pStyle w:val="BodyText"/>
      </w:pPr>
      <w:r>
        <w:t xml:space="preserve">Meridian Atlantic Private Banking Group</w:t>
      </w:r>
    </w:p>
    <w:p>
      <w:pPr>
        <w:pStyle w:val="BodyText"/>
      </w:pPr>
      <w:r>
        <w:t xml:space="preserve">1200 Brickell Avenue, Suite 2840</w:t>
      </w:r>
    </w:p>
    <w:p>
      <w:pPr>
        <w:pStyle w:val="BodyText"/>
      </w:pPr>
      <w:r>
        <w:t xml:space="preserve">Miami, Florida 33131</w:t>
      </w:r>
    </w:p>
    <w:p>
      <w:pPr>
        <w:pStyle w:val="BodyText"/>
      </w:pPr>
      <w:r>
        <w:t xml:space="preserve">United States</w:t>
      </w:r>
    </w:p>
    <w:p>
      <w:pPr>
        <w:pStyle w:val="BodyText"/>
      </w:pPr>
      <w:r>
        <w:t xml:space="preserve">Tel: (305) 555-0192</w:t>
      </w:r>
    </w:p>
    <w:p>
      <w:pPr>
        <w:pStyle w:val="BodyText"/>
      </w:pPr>
      <w:r>
        <w:t xml:space="preserve">Email: j.castellanos@meridianatlantic.com</w:t>
      </w:r>
    </w:p>
    <w:p>
      <w:pPr>
        <w:pStyle w:val="BodyText"/>
      </w:pPr>
      <w:r>
        <w:t xml:space="preserve">EIN: 82-4471903</w:t>
      </w:r>
    </w:p>
    <w:bookmarkEnd w:id="22"/>
    <w:bookmarkStart w:id="23" w:name="billed-to-client"/>
    <w:p>
      <w:pPr>
        <w:pStyle w:val="Heading4"/>
      </w:pPr>
      <w:r>
        <w:t xml:space="preserve">Billed To (Client)</w:t>
      </w:r>
    </w:p>
    <w:p>
      <w:pPr>
        <w:pStyle w:val="FirstParagraph"/>
      </w:pPr>
      <w:r>
        <w:rPr>
          <w:bCs/>
          <w:b/>
        </w:rPr>
        <w:t xml:space="preserve">Marisol Vega Enterprises, LLC</w:t>
      </w:r>
    </w:p>
    <w:p>
      <w:pPr>
        <w:pStyle w:val="BodyText"/>
      </w:pPr>
      <w:r>
        <w:t xml:space="preserve">Attn: Ms. Carmen Vega, Managing Director</w:t>
      </w:r>
    </w:p>
    <w:p>
      <w:pPr>
        <w:pStyle w:val="BodyText"/>
      </w:pPr>
      <w:r>
        <w:t xml:space="preserve">8901 Biscayne Boulevard, Floor 12</w:t>
      </w:r>
    </w:p>
    <w:p>
      <w:pPr>
        <w:pStyle w:val="BodyText"/>
      </w:pPr>
      <w:r>
        <w:t xml:space="preserve">Miami, Florida 33138</w:t>
      </w:r>
    </w:p>
    <w:p>
      <w:pPr>
        <w:pStyle w:val="BodyText"/>
      </w:pPr>
      <w:r>
        <w:t xml:space="preserve">United States</w:t>
      </w:r>
    </w:p>
    <w:p>
      <w:pPr>
        <w:pStyle w:val="BodyText"/>
      </w:pPr>
      <w:r>
        <w:t xml:space="preserve">Tel: (305) 555-0347</w:t>
      </w:r>
    </w:p>
    <w:p>
      <w:pPr>
        <w:pStyle w:val="BodyText"/>
      </w:pPr>
      <w:r>
        <w:t xml:space="preserve">Email: c.vega@marisolvega.com</w:t>
      </w:r>
    </w:p>
    <w:p>
      <w:pPr>
        <w:pStyle w:val="BodyText"/>
      </w:pPr>
      <w:r>
        <w:t xml:space="preserve">Client Account: MB-77291-FL</w:t>
      </w:r>
    </w:p>
    <w:bookmarkEnd w:id="23"/>
    <w:bookmarkStart w:id="25" w:name="description-of-banking-services-rendered"/>
    <w:p>
      <w:pPr>
        <w:pStyle w:val="Heading3"/>
      </w:pPr>
      <w:r>
        <w:t xml:space="preserve">Description of Banking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portfolio restructuring and asset allocation review for corporate treasury operations conducted by the assigned Banker in Miami, United States</w:t>
            </w:r>
          </w:p>
        </w:tc>
        <w:tc>
          <w:tcPr/>
          <w:p>
            <w:pPr>
              <w:pStyle w:val="Compact"/>
              <w:jc w:val="left"/>
            </w:pPr>
            <w:r>
              <w:t xml:space="preserve">Advisory</w:t>
            </w:r>
          </w:p>
        </w:tc>
        <w:tc>
          <w:tcPr/>
          <w:p>
            <w:pPr>
              <w:pStyle w:val="Compact"/>
              <w:jc w:val="left"/>
            </w:pPr>
            <w:r>
              <w:t xml:space="preserve">12 hrs</w:t>
            </w:r>
          </w:p>
        </w:tc>
        <w:tc>
          <w:tcPr/>
          <w:p>
            <w:pPr>
              <w:pStyle w:val="Compact"/>
              <w:jc w:val="left"/>
            </w:pPr>
            <w:r>
              <w:t xml:space="preserve">$325.00</w:t>
            </w:r>
          </w:p>
        </w:tc>
        <w:tc>
          <w:tcPr/>
          <w:p>
            <w:pPr>
              <w:pStyle w:val="Compact"/>
              <w:jc w:val="left"/>
            </w:pPr>
            <w:r>
              <w:t xml:space="preserve">$3,900.00</w:t>
            </w:r>
          </w:p>
        </w:tc>
      </w:tr>
      <w:tr>
        <w:tc>
          <w:tcPr/>
          <w:p>
            <w:pPr>
              <w:pStyle w:val="Compact"/>
              <w:jc w:val="left"/>
            </w:pPr>
            <w:r>
              <w:t xml:space="preserve">2</w:t>
            </w:r>
          </w:p>
        </w:tc>
        <w:tc>
          <w:tcPr/>
          <w:p>
            <w:pPr>
              <w:pStyle w:val="Compact"/>
              <w:jc w:val="left"/>
            </w:pPr>
            <w:r>
              <w:t xml:space="preserve">Commercial loan restructuring and refinancing analysis for multi-property real estate holdings in the Miami-Dade County area</w:t>
            </w:r>
          </w:p>
        </w:tc>
        <w:tc>
          <w:tcPr/>
          <w:p>
            <w:pPr>
              <w:pStyle w:val="Compact"/>
              <w:jc w:val="left"/>
            </w:pPr>
            <w:r>
              <w:t xml:space="preserve">Lending</w:t>
            </w:r>
          </w:p>
        </w:tc>
        <w:tc>
          <w:tcPr/>
          <w:p>
            <w:pPr>
              <w:pStyle w:val="Compact"/>
              <w:jc w:val="left"/>
            </w:pPr>
            <w:r>
              <w:t xml:space="preserve">8 hrs</w:t>
            </w:r>
          </w:p>
        </w:tc>
        <w:tc>
          <w:tcPr/>
          <w:p>
            <w:pPr>
              <w:pStyle w:val="Compact"/>
              <w:jc w:val="left"/>
            </w:pPr>
            <w:r>
              <w:t xml:space="preserve">$325.00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Cross-border payment processing optimization and FX hedging strategy development for international trade operations</w:t>
            </w:r>
          </w:p>
        </w:tc>
        <w:tc>
          <w:tcPr/>
          <w:p>
            <w:pPr>
              <w:pStyle w:val="Compact"/>
              <w:jc w:val="left"/>
            </w:pPr>
            <w:r>
              <w:t xml:space="preserve">Treasury</w:t>
            </w:r>
          </w:p>
        </w:tc>
        <w:tc>
          <w:tcPr/>
          <w:p>
            <w:pPr>
              <w:pStyle w:val="Compact"/>
              <w:jc w:val="left"/>
            </w:pPr>
            <w:r>
              <w:t xml:space="preserve">6 hrs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Regulatory compliance audit preparation and documentation review in accordance with Florida banking statutes and federal regulations applicable in the United States</w:t>
            </w:r>
          </w:p>
        </w:tc>
        <w:tc>
          <w:tcPr/>
          <w:p>
            <w:pPr>
              <w:pStyle w:val="Compact"/>
              <w:jc w:val="left"/>
            </w:pPr>
            <w:r>
              <w:t xml:space="preserve">Compliance</w:t>
            </w:r>
          </w:p>
        </w:tc>
        <w:tc>
          <w:tcPr/>
          <w:p>
            <w:pPr>
              <w:pStyle w:val="Compact"/>
              <w:jc w:val="left"/>
            </w:pPr>
            <w:r>
              <w:t xml:space="preserve">10 hrs</w:t>
            </w:r>
          </w:p>
        </w:tc>
        <w:tc>
          <w:tcPr/>
          <w:p>
            <w:pPr>
              <w:pStyle w:val="Compact"/>
              <w:jc w:val="left"/>
            </w:pPr>
            <w:r>
              <w:t xml:space="preserve">$295.00</w:t>
            </w:r>
          </w:p>
        </w:tc>
        <w:tc>
          <w:tcPr/>
          <w:p>
            <w:pPr>
              <w:pStyle w:val="Compact"/>
              <w:jc w:val="left"/>
            </w:pPr>
            <w:r>
              <w:t xml:space="preserve">$2,950.00</w:t>
            </w:r>
          </w:p>
        </w:tc>
      </w:tr>
      <w:tr>
        <w:tc>
          <w:tcPr/>
          <w:p>
            <w:pPr>
              <w:pStyle w:val="Compact"/>
              <w:jc w:val="left"/>
            </w:pPr>
            <w:r>
              <w:t xml:space="preserve">5</w:t>
            </w:r>
          </w:p>
        </w:tc>
        <w:tc>
          <w:tcPr/>
          <w:p>
            <w:pPr>
              <w:pStyle w:val="Compact"/>
              <w:jc w:val="left"/>
            </w:pPr>
            <w:r>
              <w:t xml:space="preserve">Escrow account management and disbursement coordination for pending commercial real estate acquisition in Downtown Miami</w:t>
            </w:r>
          </w:p>
        </w:tc>
        <w:tc>
          <w:tcPr/>
          <w:p>
            <w:pPr>
              <w:pStyle w:val="Compact"/>
              <w:jc w:val="left"/>
            </w:pPr>
            <w:r>
              <w:t xml:space="preserve">Escrow</w:t>
            </w:r>
          </w:p>
        </w:tc>
        <w:tc>
          <w:tcPr/>
          <w:p>
            <w:pPr>
              <w:pStyle w:val="Compact"/>
              <w:jc w:val="left"/>
            </w:pPr>
            <w:r>
              <w:t xml:space="preserve">5 hrs</w:t>
            </w:r>
          </w:p>
        </w:tc>
        <w:tc>
          <w:tcPr/>
          <w:p>
            <w:pPr>
              <w:pStyle w:val="Compact"/>
              <w:jc w:val="left"/>
            </w:pPr>
            <w:r>
              <w:t xml:space="preserve">$275.00</w:t>
            </w:r>
          </w:p>
        </w:tc>
        <w:tc>
          <w:tcPr/>
          <w:p>
            <w:pPr>
              <w:pStyle w:val="Compact"/>
              <w:jc w:val="left"/>
            </w:pPr>
            <w:r>
              <w:t xml:space="preserve">$1,375.00</w:t>
            </w:r>
          </w:p>
        </w:tc>
      </w:tr>
      <w:tr>
        <w:tc>
          <w:tcPr/>
          <w:p>
            <w:pPr>
              <w:pStyle w:val="Compact"/>
              <w:jc w:val="left"/>
            </w:pPr>
            <w:r>
              <w:t xml:space="preserve">6</w:t>
            </w:r>
          </w:p>
        </w:tc>
        <w:tc>
          <w:tcPr/>
          <w:p>
            <w:pPr>
              <w:pStyle w:val="Compact"/>
              <w:jc w:val="left"/>
            </w:pPr>
            <w:r>
              <w:t xml:space="preserve">Quarterly financial performance review meeting and strategic banking relationship consultation held at the Banker's private office in Brickell, Miami</w:t>
            </w:r>
          </w:p>
        </w:tc>
        <w:tc>
          <w:tcPr/>
          <w:p>
            <w:pPr>
              <w:pStyle w:val="Compact"/>
              <w:jc w:val="left"/>
            </w:pPr>
            <w:r>
              <w:t xml:space="preserve">Consultation</w:t>
            </w:r>
          </w:p>
        </w:tc>
        <w:tc>
          <w:tcPr/>
          <w:p>
            <w:pPr>
              <w:pStyle w:val="Compact"/>
              <w:jc w:val="left"/>
            </w:pPr>
            <w:r>
              <w:t xml:space="preserve">3 hrs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Wire transfer processing fees and international remittance handling (14 transactions processed through the Miami branch network)</w:t>
            </w:r>
          </w:p>
        </w:tc>
        <w:tc>
          <w:tcPr/>
          <w:p>
            <w:pPr>
              <w:pStyle w:val="Compact"/>
              <w:jc w:val="left"/>
            </w:pPr>
            <w:r>
              <w:t xml:space="preserve">Processing</w:t>
            </w:r>
          </w:p>
        </w:tc>
        <w:tc>
          <w:tcPr/>
          <w:p>
            <w:pPr>
              <w:pStyle w:val="Compact"/>
              <w:jc w:val="left"/>
            </w:pPr>
            <w:r>
              <w:t xml:space="preserve">14 txns</w:t>
            </w:r>
          </w:p>
        </w:tc>
        <w:tc>
          <w:tcPr/>
          <w:p>
            <w:pPr>
              <w:pStyle w:val="Compact"/>
              <w:jc w:val="left"/>
            </w:pPr>
            <w:r>
              <w:t xml:space="preserve">$45.00</w:t>
            </w:r>
          </w:p>
        </w:tc>
        <w:tc>
          <w:tcPr/>
          <w:p>
            <w:pPr>
              <w:pStyle w:val="Compact"/>
              <w:jc w:val="left"/>
            </w:pPr>
            <w:r>
              <w:t xml:space="preserve">$630.00</w:t>
            </w:r>
          </w:p>
        </w:tc>
      </w:tr>
      <w:tr>
        <w:tc>
          <w:tcPr/>
          <w:p>
            <w:pPr>
              <w:pStyle w:val="Compact"/>
              <w:jc w:val="left"/>
            </w:pPr>
            <w:r>
              <w:t xml:space="preserve">8</w:t>
            </w:r>
          </w:p>
        </w:tc>
        <w:tc>
          <w:tcPr/>
          <w:p>
            <w:pPr>
              <w:pStyle w:val="Compact"/>
              <w:jc w:val="left"/>
            </w:pPr>
            <w:r>
              <w:t xml:space="preserve">Safe deposit box rental and vault storage services for corporate documents and securities held at the Miami, United States branch facility</w:t>
            </w:r>
          </w:p>
        </w:tc>
        <w:tc>
          <w:tcPr/>
          <w:p>
            <w:pPr>
              <w:pStyle w:val="Compact"/>
              <w:jc w:val="left"/>
            </w:pPr>
            <w:r>
              <w:t xml:space="preserve">Storage</w:t>
            </w:r>
          </w:p>
        </w:tc>
        <w:tc>
          <w:tcPr/>
          <w:p>
            <w:pPr>
              <w:pStyle w:val="Compact"/>
              <w:jc w:val="left"/>
            </w:pPr>
            <w:r>
              <w:t xml:space="preserve">1 month</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$14,940.00</w:t>
            </w:r>
          </w:p>
        </w:tc>
      </w:tr>
      <w:tr>
        <w:tc>
          <w:tcPr/>
          <w:p>
            <w:pPr>
              <w:pStyle w:val="Compact"/>
              <w:jc w:val="left"/>
            </w:pPr>
            <w:r>
              <w:t xml:space="preserve">Florida State Sales Tax (6.5%)</w:t>
            </w:r>
          </w:p>
        </w:tc>
        <w:tc>
          <w:tcPr/>
          <w:p>
            <w:pPr>
              <w:pStyle w:val="Compact"/>
              <w:jc w:val="right"/>
            </w:pPr>
            <w:r>
              <w:t xml:space="preserve">$971.10</w:t>
            </w:r>
          </w:p>
        </w:tc>
      </w:tr>
      <w:tr>
        <w:tc>
          <w:tcPr/>
          <w:p>
            <w:pPr>
              <w:pStyle w:val="Compact"/>
              <w:jc w:val="left"/>
            </w:pPr>
            <w:r>
              <w:t xml:space="preserve">Miami-Dade County Surcharge (0.5%)</w:t>
            </w:r>
          </w:p>
        </w:tc>
        <w:tc>
          <w:tcPr/>
          <w:p>
            <w:pPr>
              <w:pStyle w:val="Compact"/>
              <w:jc w:val="right"/>
            </w:pPr>
            <w:r>
              <w:t xml:space="preserve">$74.70</w:t>
            </w:r>
          </w:p>
        </w:tc>
      </w:tr>
      <w:tr>
        <w:tc>
          <w:tcPr/>
          <w:p>
            <w:pPr>
              <w:pStyle w:val="Compact"/>
              <w:jc w:val="left"/>
            </w:pPr>
            <w:r>
              <w:t xml:space="preserve">Early Payment Discount (2% if paid before June 30, 2025)</w:t>
            </w:r>
          </w:p>
        </w:tc>
        <w:tc>
          <w:tcPr/>
          <w:p>
            <w:pPr>
              <w:pStyle w:val="Compact"/>
              <w:jc w:val="right"/>
            </w:pPr>
            <w:r>
              <w:t xml:space="preserve">-$298.80</w:t>
            </w:r>
          </w:p>
        </w:tc>
      </w:tr>
      <w:tr>
        <w:tc>
          <w:tcPr/>
          <w:p>
            <w:pPr>
              <w:pStyle w:val="Compact"/>
              <w:jc w:val="left"/>
            </w:pPr>
            <w:r>
              <w:t xml:space="preserve">Grand Total Due</w:t>
            </w:r>
          </w:p>
        </w:tc>
        <w:tc>
          <w:tcPr/>
          <w:p>
            <w:pPr>
              <w:pStyle w:val="Compact"/>
              <w:jc w:val="right"/>
            </w:pPr>
            <w:r>
              <w:t xml:space="preserve">$15,687.00</w:t>
            </w:r>
          </w:p>
        </w:tc>
      </w:tr>
    </w:tbl>
    <w:bookmarkStart w:id="24" w:name="payment-terms-important-notes"/>
    <w:p>
      <w:pPr>
        <w:pStyle w:val="Heading4"/>
      </w:pPr>
      <w:r>
        <w:t xml:space="preserve">Payment Terms &amp; Important Notes</w:t>
      </w:r>
    </w:p>
    <w:p>
      <w:pPr>
        <w:pStyle w:val="FirstParagraph"/>
      </w:pPr>
      <w:r>
        <w:rPr>
          <w:bCs/>
          <w:b/>
        </w:rPr>
        <w:t xml:space="preserve">Payment Method:</w:t>
      </w:r>
      <w:r>
        <w:t xml:space="preserve"> </w:t>
      </w:r>
      <w:r>
        <w:t xml:space="preserve">This Invoice must be settled via ACH transfer, wire transfer, or certified check payable to Meridian Atlantic Private Banking Group. Payments should be directed to the Miami, Florida branch account (Routing: 021000021, Account: 4471-8829-03).</w:t>
      </w:r>
    </w:p>
    <w:p>
      <w:pPr>
        <w:pStyle w:val="BodyText"/>
      </w:pPr>
      <w:r>
        <w:rPr>
          <w:bCs/>
          <w:b/>
        </w:rPr>
        <w:t xml:space="preserve">Due Date:</w:t>
      </w:r>
      <w:r>
        <w:t xml:space="preserve"> </w:t>
      </w:r>
      <w:r>
        <w:t xml:space="preserve">Full payment of this Invoice is due within thirty (30) calendar days of the Invoice date, no later than July 15, 2025. Late payments will accrue interest at a rate of 1.5% per month as permitted under Florida Statute Chapter 559 and applicable United States federal banking regulations.</w:t>
      </w:r>
    </w:p>
    <w:p>
      <w:pPr>
        <w:pStyle w:val="BodyText"/>
      </w:pPr>
      <w:r>
        <w:rPr>
          <w:bCs/>
          <w:b/>
        </w:rPr>
        <w:t xml:space="preserve">Tax Information:</w:t>
      </w:r>
      <w:r>
        <w:t xml:space="preserve"> </w:t>
      </w:r>
      <w:r>
        <w:t xml:space="preserve">All tax calculations on this Invoice reflect the current tax rates applicable in Miami, Florida, United States. The Banker is registered with the Florida Department of Revenue and the Internal Revenue Service. A copy of this Invoice has been filed for tax reporting purposes in the state of Florida.</w:t>
      </w:r>
    </w:p>
    <w:p>
      <w:pPr>
        <w:pStyle w:val="BodyText"/>
      </w:pPr>
      <w:r>
        <w:rPr>
          <w:bCs/>
          <w:b/>
        </w:rPr>
        <w:t xml:space="preserve">Dispute Resolution:</w:t>
      </w:r>
      <w:r>
        <w:t xml:space="preserve"> </w:t>
      </w:r>
      <w:r>
        <w:t xml:space="preserve">Any disputes regarding the charges listed on this Invoice must be submitted in writing to the undersigned Banker within fifteen (15) business days of receipt. All matters shall be governed by the laws of the State of Florida and the United States of America. Jurisdiction for any legal proceedings shall lie exclusively in the courts of Miami-Dade County, Florida.</w:t>
      </w:r>
    </w:p>
    <w:p>
      <w:pPr>
        <w:pStyle w:val="BodyText"/>
      </w:pPr>
      <w:r>
        <w:rPr>
          <w:bCs/>
          <w:b/>
        </w:rPr>
        <w:t xml:space="preserve">Confidentiality:</w:t>
      </w:r>
      <w:r>
        <w:t xml:space="preserve"> </w:t>
      </w:r>
      <w:r>
        <w:t xml:space="preserve">All financial information contained in this Invoice and the associated banking services are subject to the Banker's fiduciary duty and the confidentiality provisions of the Gramm-Leach-Bliley Act (GLBA) and Florida banking privacy statutes. Unauthorized disclosure of this document is strictly prohibited.</w:t>
      </w:r>
    </w:p>
    <w:bookmarkEnd w:id="24"/>
    <w:p>
      <w:pPr>
        <w:pStyle w:val="BodyText"/>
      </w:pPr>
      <w:r>
        <w:t xml:space="preserve">This Invoice was generated and issued by Jonathan R. Castellanos, Senior Banker, Meridian Atlantic Private Banking Group, Miami, Florida, United States.</w:t>
      </w:r>
    </w:p>
    <w:p>
      <w:pPr>
        <w:pStyle w:val="BodyText"/>
      </w:pPr>
      <w:r>
        <w:t xml:space="preserve">Document Reference: INV-2025-MIA-04872 | Generated: June 15, 2025 | Page 1 of 1</w:t>
      </w:r>
    </w:p>
    <w:p>
      <w:pPr>
        <w:pStyle w:val="BodyText"/>
      </w:pPr>
      <w:r>
        <w:t xml:space="preserve">© 2025 Meridian Atlantic Private Banking Group. All rights reserved. NMLS ID: 4471903. Member FDIC. Equal Housing Lender.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Miami, United States</dc:title>
  <dc:creator/>
  <dc:language>en</dc:language>
  <cp:keywords/>
  <dcterms:created xsi:type="dcterms:W3CDTF">2026-10-10T08:09:03Z</dcterms:created>
  <dcterms:modified xsi:type="dcterms:W3CDTF">2026-10-10T08:09:03Z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