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Banker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meridian-banker-group-llc"/>
    <w:p>
      <w:pPr>
        <w:pStyle w:val="Heading1"/>
      </w:pPr>
      <w:r>
        <w:t xml:space="preserve">Meridian Banker Group LLC</w:t>
      </w:r>
    </w:p>
    <w:p>
      <w:pPr>
        <w:pStyle w:val="FirstParagraph"/>
      </w:pPr>
      <w:r>
        <w:t xml:space="preserve">Professional Banking &amp; Financial Advisory Services</w:t>
      </w:r>
    </w:p>
    <w:p>
      <w:pPr>
        <w:pStyle w:val="BodyText"/>
      </w:pPr>
      <w:r>
        <w:t xml:space="preserve">200 Park Avenue, Suite 4200</w:t>
      </w:r>
    </w:p>
    <w:p>
      <w:pPr>
        <w:pStyle w:val="BodyText"/>
      </w:pPr>
      <w:r>
        <w:t xml:space="preserve">New York, NY 10166, United States</w:t>
      </w:r>
    </w:p>
    <w:p>
      <w:pPr>
        <w:pStyle w:val="BodyText"/>
      </w:pPr>
      <w:r>
        <w:t xml:space="preserve">Tel: (212) 555-0147 | Fax: (212) 555-0148</w:t>
      </w:r>
    </w:p>
    <w:p>
      <w:pPr>
        <w:pStyle w:val="BodyText"/>
      </w:pPr>
      <w:r>
        <w:t xml:space="preserve">Email: billing@meridianbankergroup.com</w:t>
      </w:r>
    </w:p>
    <w:p>
      <w:pPr>
        <w:pStyle w:val="BodyText"/>
      </w:pPr>
      <w:r>
        <w:t xml:space="preserve">NYS Banking License No. NY-2024-08831</w:t>
      </w:r>
    </w:p>
    <w:p>
      <w:pPr>
        <w:pStyle w:val="BodyText"/>
      </w:pPr>
      <w:r>
        <w:t xml:space="preserve">Licensed Banker – New York City</w:t>
      </w:r>
    </w:p>
    <w:bookmarkEnd w:id="20"/>
    <w:bookmarkStart w:id="21" w:name="invoice"/>
    <w:p>
      <w:pPr>
        <w:pStyle w:val="Heading2"/>
      </w:pPr>
      <w:r>
        <w:t xml:space="preserve">INVOICE</w:t>
      </w:r>
    </w:p>
    <w:p>
      <w:pPr>
        <w:pStyle w:val="FirstParagraph"/>
      </w:pPr>
      <w:r>
        <w:t xml:space="preserve">Invoice No: MBG-2025-00472</w:t>
      </w:r>
    </w:p>
    <w:p>
      <w:pPr>
        <w:pStyle w:val="BodyText"/>
      </w:pPr>
      <w:r>
        <w:t xml:space="preserve">Issue Date: June 15, 2025</w:t>
      </w:r>
    </w:p>
    <w:p>
      <w:pPr>
        <w:pStyle w:val="BodyText"/>
      </w:pPr>
      <w:r>
        <w:t xml:space="preserve">Due Date: July 15, 2025</w:t>
      </w:r>
    </w:p>
    <w:p>
      <w:pPr>
        <w:pStyle w:val="BodyText"/>
      </w:pPr>
      <w:r>
        <w:t xml:space="preserve">Payment Terms: Net 30</w:t>
      </w:r>
    </w:p>
    <w:p>
      <w:pPr>
        <w:pStyle w:val="BodyText"/>
      </w:pPr>
      <w:r>
        <w:t xml:space="preserve">Service Period: May 1 – May 31, 2025</w:t>
      </w:r>
    </w:p>
    <w:bookmarkEnd w:id="21"/>
    <w:bookmarkStart w:id="22" w:name="billed-by-banker"/>
    <w:p>
      <w:pPr>
        <w:pStyle w:val="Heading3"/>
      </w:pPr>
      <w:r>
        <w:t xml:space="preserve">Billed By (Banker)</w:t>
      </w:r>
    </w:p>
    <w:p>
      <w:pPr>
        <w:pStyle w:val="FirstParagraph"/>
      </w:pPr>
      <w:r>
        <w:rPr>
          <w:bCs/>
          <w:b/>
        </w:rPr>
        <w:t xml:space="preserve">Meridian Banker Group LLC</w:t>
      </w:r>
    </w:p>
    <w:p>
      <w:pPr>
        <w:pStyle w:val="BodyText"/>
      </w:pPr>
      <w:r>
        <w:t xml:space="preserve">200 Park Avenue, Suite 4200</w:t>
      </w:r>
    </w:p>
    <w:p>
      <w:pPr>
        <w:pStyle w:val="BodyText"/>
      </w:pPr>
      <w:r>
        <w:t xml:space="preserve">New York, NY 10166</w:t>
      </w:r>
    </w:p>
    <w:p>
      <w:pPr>
        <w:pStyle w:val="BodyText"/>
      </w:pPr>
      <w:r>
        <w:t xml:space="preserve">United States</w:t>
      </w:r>
    </w:p>
    <w:p>
      <w:pPr>
        <w:pStyle w:val="BodyText"/>
      </w:pPr>
      <w:r>
        <w:t xml:space="preserve">Banker of Record: Jonathan R. Whitfield, CFA</w:t>
      </w:r>
    </w:p>
    <w:p>
      <w:pPr>
        <w:pStyle w:val="BodyText"/>
      </w:pPr>
      <w:r>
        <w:t xml:space="preserve">NYC Department of Financial Services Reg. No. 4471-B</w:t>
      </w:r>
    </w:p>
    <w:bookmarkEnd w:id="22"/>
    <w:bookmarkStart w:id="23" w:name="billed-to-client"/>
    <w:p>
      <w:pPr>
        <w:pStyle w:val="Heading3"/>
      </w:pPr>
      <w:r>
        <w:t xml:space="preserve">Billed To (Client)</w:t>
      </w:r>
    </w:p>
    <w:p>
      <w:pPr>
        <w:pStyle w:val="FirstParagraph"/>
      </w:pPr>
      <w:r>
        <w:rPr>
          <w:bCs/>
          <w:b/>
        </w:rPr>
        <w:t xml:space="preserve">Harborview Commercial Properties Inc.</w:t>
      </w:r>
    </w:p>
    <w:p>
      <w:pPr>
        <w:pStyle w:val="BodyText"/>
      </w:pPr>
      <w:r>
        <w:t xml:space="preserve">145 West 42nd Street, Floor 18</w:t>
      </w:r>
    </w:p>
    <w:p>
      <w:pPr>
        <w:pStyle w:val="BodyText"/>
      </w:pPr>
      <w:r>
        <w:t xml:space="preserve">New York, NY 10036</w:t>
      </w:r>
    </w:p>
    <w:p>
      <w:pPr>
        <w:pStyle w:val="BodyText"/>
      </w:pPr>
      <w:r>
        <w:t xml:space="preserve">United States</w:t>
      </w:r>
    </w:p>
    <w:p>
      <w:pPr>
        <w:pStyle w:val="BodyText"/>
      </w:pPr>
      <w:r>
        <w:t xml:space="preserve">Attn: Ms. Diane K. Morrison, CFO</w:t>
      </w:r>
    </w:p>
    <w:p>
      <w:pPr>
        <w:pStyle w:val="BodyText"/>
      </w:pPr>
      <w:r>
        <w:t xml:space="preserve">Client Account No: HCP-2024-0091</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Banking Service</w:t>
            </w:r>
          </w:p>
        </w:tc>
        <w:tc>
          <w:tcPr/>
          <w:p>
            <w:pPr>
              <w:pStyle w:val="Compact"/>
              <w:jc w:val="left"/>
            </w:pPr>
            <w:r>
              <w:t xml:space="preserve">Service Category</w:t>
            </w:r>
          </w:p>
        </w:tc>
        <w:tc>
          <w:tcPr/>
          <w:p>
            <w:pPr>
              <w:pStyle w:val="Compact"/>
              <w:jc w:val="left"/>
            </w:pPr>
            <w:r>
              <w:t xml:space="preserve">Hours / Units</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Commercial loan portfolio restructuring and interest rate hedging advisory for the client's Manhattan real estate holdings. The Banker conducted a comprehensive review of all outstanding commercial mortgages and implemented a fixed-to-floating rate conversion strategy.</w:t>
            </w:r>
          </w:p>
        </w:tc>
        <w:tc>
          <w:tcPr/>
          <w:p>
            <w:pPr>
              <w:pStyle w:val="Compact"/>
              <w:jc w:val="left"/>
            </w:pPr>
            <w:r>
              <w:t xml:space="preserve">Loan Advisory</w:t>
            </w:r>
          </w:p>
        </w:tc>
        <w:tc>
          <w:tcPr/>
          <w:p>
            <w:pPr>
              <w:pStyle w:val="Compact"/>
              <w:jc w:val="left"/>
            </w:pPr>
            <w:r>
              <w:t xml:space="preserve">24 hrs</w:t>
            </w:r>
          </w:p>
        </w:tc>
        <w:tc>
          <w:tcPr/>
          <w:p>
            <w:pPr>
              <w:pStyle w:val="Compact"/>
              <w:jc w:val="left"/>
            </w:pPr>
            <w:r>
              <w:t xml:space="preserve">$325.00</w:t>
            </w:r>
          </w:p>
        </w:tc>
        <w:tc>
          <w:tcPr/>
          <w:p>
            <w:pPr>
              <w:pStyle w:val="Compact"/>
              <w:jc w:val="left"/>
            </w:pPr>
            <w:r>
              <w:t xml:space="preserve">$7,800.00</w:t>
            </w:r>
          </w:p>
        </w:tc>
      </w:tr>
      <w:tr>
        <w:tc>
          <w:tcPr/>
          <w:p>
            <w:pPr>
              <w:pStyle w:val="Compact"/>
              <w:jc w:val="left"/>
            </w:pPr>
            <w:r>
              <w:t xml:space="preserve">2</w:t>
            </w:r>
          </w:p>
        </w:tc>
        <w:tc>
          <w:tcPr/>
          <w:p>
            <w:pPr>
              <w:pStyle w:val="Compact"/>
              <w:jc w:val="left"/>
            </w:pPr>
            <w:r>
              <w:t xml:space="preserve">Corporate treasury management and cash flow optimization services. The Banker designed a multi-bank sweep structure to maximize yield on the client's operating accounts held across New York City financial institutions.</w:t>
            </w:r>
          </w:p>
        </w:tc>
        <w:tc>
          <w:tcPr/>
          <w:p>
            <w:pPr>
              <w:pStyle w:val="Compact"/>
              <w:jc w:val="left"/>
            </w:pPr>
            <w:r>
              <w:t xml:space="preserve">Treasury Management</w:t>
            </w:r>
          </w:p>
        </w:tc>
        <w:tc>
          <w:tcPr/>
          <w:p>
            <w:pPr>
              <w:pStyle w:val="Compact"/>
              <w:jc w:val="left"/>
            </w:pPr>
            <w:r>
              <w:t xml:space="preserve">16 hrs</w:t>
            </w:r>
          </w:p>
        </w:tc>
        <w:tc>
          <w:tcPr/>
          <w:p>
            <w:pPr>
              <w:pStyle w:val="Compact"/>
              <w:jc w:val="left"/>
            </w:pPr>
            <w:r>
              <w:t xml:space="preserve">$325.00</w:t>
            </w:r>
          </w:p>
        </w:tc>
        <w:tc>
          <w:tcPr/>
          <w:p>
            <w:pPr>
              <w:pStyle w:val="Compact"/>
              <w:jc w:val="left"/>
            </w:pPr>
            <w:r>
              <w:t xml:space="preserve">$5,200.00</w:t>
            </w:r>
          </w:p>
        </w:tc>
      </w:tr>
      <w:tr>
        <w:tc>
          <w:tcPr/>
          <w:p>
            <w:pPr>
              <w:pStyle w:val="Compact"/>
              <w:jc w:val="left"/>
            </w:pPr>
            <w:r>
              <w:t xml:space="preserve">3</w:t>
            </w:r>
          </w:p>
        </w:tc>
        <w:tc>
          <w:tcPr/>
          <w:p>
            <w:pPr>
              <w:pStyle w:val="Compact"/>
              <w:jc w:val="left"/>
            </w:pPr>
            <w:r>
              <w:t xml:space="preserve">Regulatory compliance review and NYDFS (New York Department of Financial Services) filing preparation. The Banker ensured all banking operations complied with current United States federal regulations and New York State banking codes applicable to commercial entities in New York City.</w:t>
            </w:r>
          </w:p>
        </w:tc>
        <w:tc>
          <w:tcPr/>
          <w:p>
            <w:pPr>
              <w:pStyle w:val="Compact"/>
              <w:jc w:val="left"/>
            </w:pPr>
            <w:r>
              <w:t xml:space="preserve">Compliance &amp; Regulatory</w:t>
            </w:r>
          </w:p>
        </w:tc>
        <w:tc>
          <w:tcPr/>
          <w:p>
            <w:pPr>
              <w:pStyle w:val="Compact"/>
              <w:jc w:val="left"/>
            </w:pPr>
            <w:r>
              <w:t xml:space="preserve">12 hrs</w:t>
            </w:r>
          </w:p>
        </w:tc>
        <w:tc>
          <w:tcPr/>
          <w:p>
            <w:pPr>
              <w:pStyle w:val="Compact"/>
              <w:jc w:val="left"/>
            </w:pPr>
            <w:r>
              <w:t xml:space="preserve">$350.00</w:t>
            </w:r>
          </w:p>
        </w:tc>
        <w:tc>
          <w:tcPr/>
          <w:p>
            <w:pPr>
              <w:pStyle w:val="Compact"/>
              <w:jc w:val="left"/>
            </w:pPr>
            <w:r>
              <w:t xml:space="preserve">$4,200.00</w:t>
            </w:r>
          </w:p>
        </w:tc>
      </w:tr>
      <w:tr>
        <w:tc>
          <w:tcPr/>
          <w:p>
            <w:pPr>
              <w:pStyle w:val="Compact"/>
              <w:jc w:val="left"/>
            </w:pPr>
            <w:r>
              <w:t xml:space="preserve">4</w:t>
            </w:r>
          </w:p>
        </w:tc>
        <w:tc>
          <w:tcPr/>
          <w:p>
            <w:pPr>
              <w:pStyle w:val="Compact"/>
              <w:jc w:val="left"/>
            </w:pPr>
            <w:r>
              <w:t xml:space="preserve">Merchant banking services and trade finance facilitation for the client's international procurement operations. The Banker arranged letters of credit and documentary collections through correspondent banking networks.</w:t>
            </w:r>
          </w:p>
        </w:tc>
        <w:tc>
          <w:tcPr/>
          <w:p>
            <w:pPr>
              <w:pStyle w:val="Compact"/>
              <w:jc w:val="left"/>
            </w:pPr>
            <w:r>
              <w:t xml:space="preserve">Trade Finance</w:t>
            </w:r>
          </w:p>
        </w:tc>
        <w:tc>
          <w:tcPr/>
          <w:p>
            <w:pPr>
              <w:pStyle w:val="Compact"/>
              <w:jc w:val="left"/>
            </w:pPr>
            <w:r>
              <w:t xml:space="preserve">10 hrs</w:t>
            </w:r>
          </w:p>
        </w:tc>
        <w:tc>
          <w:tcPr/>
          <w:p>
            <w:pPr>
              <w:pStyle w:val="Compact"/>
              <w:jc w:val="left"/>
            </w:pPr>
            <w:r>
              <w:t xml:space="preserve">$325.00</w:t>
            </w:r>
          </w:p>
        </w:tc>
        <w:tc>
          <w:tcPr/>
          <w:p>
            <w:pPr>
              <w:pStyle w:val="Compact"/>
              <w:jc w:val="left"/>
            </w:pPr>
            <w:r>
              <w:t xml:space="preserve">$3,250.00</w:t>
            </w:r>
          </w:p>
        </w:tc>
      </w:tr>
      <w:tr>
        <w:tc>
          <w:tcPr/>
          <w:p>
            <w:pPr>
              <w:pStyle w:val="Compact"/>
              <w:jc w:val="left"/>
            </w:pPr>
            <w:r>
              <w:t xml:space="preserve">5</w:t>
            </w:r>
          </w:p>
        </w:tc>
        <w:tc>
          <w:tcPr/>
          <w:p>
            <w:pPr>
              <w:pStyle w:val="Compact"/>
              <w:jc w:val="left"/>
            </w:pPr>
            <w:r>
              <w:t xml:space="preserve">Quarterly financial performance review and strategic banking relationship assessment. The Banker presented findings to the client's board of directors at their offices in Midtown Manhattan, United States New York City.</w:t>
            </w:r>
          </w:p>
        </w:tc>
        <w:tc>
          <w:tcPr/>
          <w:p>
            <w:pPr>
              <w:pStyle w:val="Compact"/>
              <w:jc w:val="left"/>
            </w:pPr>
            <w:r>
              <w:t xml:space="preserve">Strategic Advisory</w:t>
            </w:r>
          </w:p>
        </w:tc>
        <w:tc>
          <w:tcPr/>
          <w:p>
            <w:pPr>
              <w:pStyle w:val="Compact"/>
              <w:jc w:val="left"/>
            </w:pPr>
            <w:r>
              <w:t xml:space="preserve">8 hrs</w:t>
            </w:r>
          </w:p>
        </w:tc>
        <w:tc>
          <w:tcPr/>
          <w:p>
            <w:pPr>
              <w:pStyle w:val="Compact"/>
              <w:jc w:val="left"/>
            </w:pPr>
            <w:r>
              <w:t xml:space="preserve">$400.00</w:t>
            </w:r>
          </w:p>
        </w:tc>
        <w:tc>
          <w:tcPr/>
          <w:p>
            <w:pPr>
              <w:pStyle w:val="Compact"/>
              <w:jc w:val="left"/>
            </w:pPr>
            <w:r>
              <w:t xml:space="preserve">$3,200.00</w:t>
            </w:r>
          </w:p>
        </w:tc>
      </w:tr>
      <w:tr>
        <w:tc>
          <w:tcPr/>
          <w:p>
            <w:pPr>
              <w:pStyle w:val="Compact"/>
              <w:jc w:val="left"/>
            </w:pPr>
            <w:r>
              <w:t xml:space="preserve">6</w:t>
            </w:r>
          </w:p>
        </w:tc>
        <w:tc>
          <w:tcPr/>
          <w:p>
            <w:pPr>
              <w:pStyle w:val="Compact"/>
              <w:jc w:val="left"/>
            </w:pPr>
            <w:r>
              <w:t xml:space="preserve">Wire transfer processing, ACH batch management, and electronic funds transfer setup for payroll disbursements to employees across the five boroughs of New York City.</w:t>
            </w:r>
          </w:p>
        </w:tc>
        <w:tc>
          <w:tcPr/>
          <w:p>
            <w:pPr>
              <w:pStyle w:val="Compact"/>
              <w:jc w:val="left"/>
            </w:pPr>
            <w:r>
              <w:t xml:space="preserve">Payment Processing</w:t>
            </w:r>
          </w:p>
        </w:tc>
        <w:tc>
          <w:tcPr/>
          <w:p>
            <w:pPr>
              <w:pStyle w:val="Compact"/>
              <w:jc w:val="left"/>
            </w:pPr>
            <w:r>
              <w:t xml:space="preserve">6 hrs</w:t>
            </w:r>
          </w:p>
        </w:tc>
        <w:tc>
          <w:tcPr/>
          <w:p>
            <w:pPr>
              <w:pStyle w:val="Compact"/>
              <w:jc w:val="left"/>
            </w:pPr>
            <w:r>
              <w:t xml:space="preserve">$275.00</w:t>
            </w:r>
          </w:p>
        </w:tc>
        <w:tc>
          <w:tcPr/>
          <w:p>
            <w:pPr>
              <w:pStyle w:val="Compact"/>
              <w:jc w:val="left"/>
            </w:pPr>
            <w:r>
              <w:t xml:space="preserve">$1,650.00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$25,300.00</w:t>
            </w:r>
          </w:p>
        </w:tc>
      </w:tr>
      <w:tr>
        <w:tc>
          <w:tcPr/>
          <w:p>
            <w:pPr>
              <w:pStyle w:val="Compact"/>
              <w:jc w:val="left"/>
            </w:pPr>
            <w:r>
              <w:t xml:space="preserve">Applicable New York City Sales Tax (8.875%)</w:t>
            </w:r>
          </w:p>
        </w:tc>
        <w:tc>
          <w:tcPr/>
          <w:p>
            <w:pPr>
              <w:pStyle w:val="Compact"/>
              <w:jc w:val="left"/>
            </w:pPr>
            <w:r>
              <w:t xml:space="preserve">$2,245.49</w:t>
            </w:r>
          </w:p>
        </w:tc>
      </w:tr>
      <w:tr>
        <w:tc>
          <w:tcPr/>
          <w:p>
            <w:pPr>
              <w:pStyle w:val="Compact"/>
              <w:jc w:val="left"/>
            </w:pPr>
            <w:r>
              <w:t xml:space="preserve">New York State Banking Service Surcharge</w:t>
            </w:r>
          </w:p>
        </w:tc>
        <w:tc>
          <w:tcPr/>
          <w:p>
            <w:pPr>
              <w:pStyle w:val="Compact"/>
              <w:jc w:val="left"/>
            </w:pPr>
            <w:r>
              <w:t xml:space="preserve">$126.50</w:t>
            </w:r>
          </w:p>
        </w:tc>
      </w:tr>
      <w:tr>
        <w:tc>
          <w:tcPr/>
          <w:p>
            <w:pPr>
              <w:pStyle w:val="Compact"/>
              <w:jc w:val="left"/>
            </w:pPr>
            <w:r>
              <w:t xml:space="preserve">Early Payment Discount (2% if paid before June 30, 2025)</w:t>
            </w:r>
          </w:p>
        </w:tc>
        <w:tc>
          <w:tcPr/>
          <w:p>
            <w:pPr>
              <w:pStyle w:val="Compact"/>
              <w:jc w:val="left"/>
            </w:pPr>
            <w:r>
              <w:t xml:space="preserve">($506.00)</w:t>
            </w:r>
          </w:p>
        </w:tc>
      </w:tr>
      <w:tr>
        <w:tc>
          <w:tcPr/>
          <w:p>
            <w:pPr>
              <w:pStyle w:val="Compact"/>
              <w:jc w:val="left"/>
            </w:pPr>
            <w:r>
              <w:t xml:space="preserve">Grand Total Due</w:t>
            </w:r>
          </w:p>
        </w:tc>
        <w:tc>
          <w:tcPr/>
          <w:p>
            <w:pPr>
              <w:pStyle w:val="Compact"/>
              <w:jc w:val="left"/>
            </w:pPr>
            <w:r>
              <w:t xml:space="preserve">$27,165.99</w:t>
            </w:r>
          </w:p>
        </w:tc>
      </w:tr>
    </w:tbl>
    <w:bookmarkStart w:id="24" w:name="terms-conditions-payment-instructions"/>
    <w:p>
      <w:pPr>
        <w:pStyle w:val="Heading3"/>
      </w:pPr>
      <w:r>
        <w:t xml:space="preserve">Terms, Conditions &amp; Payment Instructions</w:t>
      </w:r>
    </w:p>
    <w:p>
      <w:pPr>
        <w:pStyle w:val="FirstParagraph"/>
      </w:pPr>
      <w:r>
        <w:t xml:space="preserve">This Invoice is issued by Meridian Banker Group LLC, a licensed banking and financial advisory firm operating in United States New York City, in accordance with the Master Banking Services Agreement dated March 1, 2024, between the Banker and the Client. All services rendered by the Banker are subject to the terms outlined in said agreement.</w:t>
      </w:r>
    </w:p>
    <w:p>
      <w:pPr>
        <w:numPr>
          <w:ilvl w:val="0"/>
          <w:numId w:val="1001"/>
        </w:numPr>
        <w:pStyle w:val="Compact"/>
      </w:pPr>
      <w:r>
        <w:rPr>
          <w:bCs/>
          <w:b/>
        </w:rPr>
        <w:t xml:space="preserve">Payment Method:</w:t>
      </w:r>
      <w:r>
        <w:t xml:space="preserve"> </w:t>
      </w:r>
      <w:r>
        <w:t xml:space="preserve">Payment shall be made via ACH transfer, wire transfer, or certified check payable to "Meridian Banker Group LLC." Wire instructions: Bank of New York Mellon, Routing No. 026009593, Account No. 8842-7719-003, Reference: MBG-2025-00472.</w:t>
      </w:r>
    </w:p>
    <w:p>
      <w:pPr>
        <w:numPr>
          <w:ilvl w:val="0"/>
          <w:numId w:val="1001"/>
        </w:numPr>
        <w:pStyle w:val="Compact"/>
      </w:pPr>
      <w:r>
        <w:rPr>
          <w:bCs/>
          <w:b/>
        </w:rPr>
        <w:t xml:space="preserve">Payment Due Date:</w:t>
      </w:r>
      <w:r>
        <w:t xml:space="preserve"> </w:t>
      </w:r>
      <w:r>
        <w:t xml:space="preserve">Full payment of $27,165.99 is due no later than July 15, 2025. Late payments will accrue interest at a rate of 1.5% per month, in compliance with New York State General Obligations Law Section 5-531.</w:t>
      </w:r>
    </w:p>
    <w:p>
      <w:pPr>
        <w:numPr>
          <w:ilvl w:val="0"/>
          <w:numId w:val="1001"/>
        </w:numPr>
        <w:pStyle w:val="Compact"/>
      </w:pPr>
      <w:r>
        <w:rPr>
          <w:bCs/>
          <w:b/>
        </w:rPr>
        <w:t xml:space="preserve">Tax Compliance:</w:t>
      </w:r>
      <w:r>
        <w:t xml:space="preserve"> </w:t>
      </w:r>
      <w:r>
        <w:t xml:space="preserve">All applicable United States federal, New York State, and New York City taxes have been calculated and included. The Banker is registered with the New York State Department of Taxation and Finance under Vendor ID NY-77291-BC.</w:t>
      </w:r>
    </w:p>
    <w:p>
      <w:pPr>
        <w:numPr>
          <w:ilvl w:val="0"/>
          <w:numId w:val="1001"/>
        </w:numPr>
        <w:pStyle w:val="Compact"/>
      </w:pPr>
      <w:r>
        <w:rPr>
          <w:bCs/>
          <w:b/>
        </w:rPr>
        <w:t xml:space="preserve">Dispute Resolution:</w:t>
      </w:r>
      <w:r>
        <w:t xml:space="preserve"> </w:t>
      </w:r>
      <w:r>
        <w:t xml:space="preserve">Any disputes arising from this Invoice or the services provided by the Banker shall be resolved through binding arbitration in New York City, United States, in accordance with the rules of the American Arbitration Association.</w:t>
      </w:r>
    </w:p>
    <w:p>
      <w:pPr>
        <w:numPr>
          <w:ilvl w:val="0"/>
          <w:numId w:val="1001"/>
        </w:numPr>
        <w:pStyle w:val="Compact"/>
      </w:pPr>
      <w:r>
        <w:rPr>
          <w:bCs/>
          <w:b/>
        </w:rPr>
        <w:t xml:space="preserve">Confidentiality:</w:t>
      </w:r>
      <w:r>
        <w:t xml:space="preserve"> </w:t>
      </w:r>
      <w:r>
        <w:t xml:space="preserve">All financial data, account information, and banking records exchanged between the Banker and the Client are subject to strict confidentiality under the Gramm-Leach-Bliley Act and New York State banking secrecy statutes.</w:t>
      </w:r>
    </w:p>
    <w:p>
      <w:pPr>
        <w:numPr>
          <w:ilvl w:val="0"/>
          <w:numId w:val="1001"/>
        </w:numPr>
        <w:pStyle w:val="Compact"/>
      </w:pPr>
      <w:r>
        <w:rPr>
          <w:bCs/>
          <w:b/>
        </w:rPr>
        <w:t xml:space="preserve">Regulatory Notice:</w:t>
      </w:r>
      <w:r>
        <w:t xml:space="preserve"> </w:t>
      </w:r>
      <w:r>
        <w:t xml:space="preserve">Meridian Banker Group LLC is a registered banking institution under the supervision of the New York State Department of Financial Services and the Federal Reserve Bank of New York. All banking services described in this Invoice are conducted in full compliance with United States federal banking regulations.</w:t>
      </w:r>
    </w:p>
    <w:p>
      <w:pPr>
        <w:pStyle w:val="FirstParagraph"/>
      </w:pPr>
      <w:r>
        <w:rPr>
          <w:bCs/>
          <w:b/>
        </w:rPr>
        <w:t xml:space="preserve">Authorized Signature of the Banker:</w:t>
      </w:r>
    </w:p>
    <w:p>
      <w:pPr>
        <w:pStyle w:val="BodyText"/>
      </w:pPr>
      <w:r>
        <w:t xml:space="preserve">______________________________</w:t>
      </w:r>
      <w:r>
        <w:br/>
      </w:r>
      <w:r>
        <w:t xml:space="preserve">Jonathan R. Whitfield, CFA</w:t>
      </w:r>
      <w:r>
        <w:br/>
      </w:r>
      <w:r>
        <w:t xml:space="preserve">Senior Banker &amp; Managing Director</w:t>
      </w:r>
      <w:r>
        <w:br/>
      </w:r>
      <w:r>
        <w:t xml:space="preserve">Meridian Banker Group LLC</w:t>
      </w:r>
      <w:r>
        <w:br/>
      </w:r>
      <w:r>
        <w:t xml:space="preserve">New York, NY 10166, United States</w:t>
      </w:r>
      <w:r>
        <w:br/>
      </w:r>
      <w:r>
        <w:t xml:space="preserve">Date: June 15, 2025</w:t>
      </w:r>
    </w:p>
    <w:bookmarkEnd w:id="24"/>
    <w:p>
      <w:pPr>
        <w:pStyle w:val="BodyText"/>
      </w:pPr>
      <w:r>
        <w:rPr>
          <w:bCs/>
          <w:b/>
        </w:rPr>
        <w:t xml:space="preserve">Meridian Banker Group LLC</w:t>
      </w:r>
      <w:r>
        <w:t xml:space="preserve"> </w:t>
      </w:r>
      <w:r>
        <w:t xml:space="preserve">| 200 Park Avenue, Suite 4200, New York, NY 10166, United States</w:t>
      </w:r>
    </w:p>
    <w:p>
      <w:pPr>
        <w:pStyle w:val="BodyText"/>
      </w:pPr>
      <w:r>
        <w:t xml:space="preserve">Licensed Banker – New York State Department of Financial Services | Reg. No. NY-2024-08831</w:t>
      </w:r>
    </w:p>
    <w:p>
      <w:pPr>
        <w:pStyle w:val="BodyText"/>
      </w:pPr>
      <w:r>
        <w:t xml:space="preserve">This Invoice was generated and issued in New York City, United States. All banking services are governed by the laws of the State of New York and applicable United States federal statutes.</w:t>
      </w:r>
    </w:p>
    <w:p>
      <w:pPr>
        <w:pStyle w:val="BodyText"/>
      </w:pPr>
      <w:r>
        <w:t xml:space="preserve">For questions regarding this Invoice, please contact the Banker's billing department at (212) 555-0147 or billing@meridianbankergroup.com.</w:t>
      </w:r>
    </w:p>
    <w:p>
      <w:pPr>
        <w:pStyle w:val="BodyText"/>
      </w:pPr>
      <w:r>
        <w:t xml:space="preserve">© 2025 Meridian Banker Group LLC. All rights reserved. Invoice MBG-2025-00472.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Banker Services - United States New York City</dc:title>
  <dc:creator/>
  <dc:language>en</dc:language>
  <cp:keywords/>
  <dcterms:created xsi:type="dcterms:W3CDTF">2026-10-10T13:53:36Z</dcterms:created>
  <dcterms:modified xsi:type="dcterms:W3CDTF">2026-10-10T13:53:36Z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