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Financial</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Issued in San Francisco, California, United States</w:t>
      </w:r>
    </w:p>
    <w:p>
      <w:pPr>
        <w:pStyle w:val="BodyText"/>
      </w:pPr>
      <w:r>
        <w:t xml:space="preserve">Official Invoice Document</w:t>
      </w:r>
    </w:p>
    <w:bookmarkEnd w:id="20"/>
    <w:bookmarkStart w:id="21" w:name="banker-service-provider"/>
    <w:p>
      <w:pPr>
        <w:pStyle w:val="Heading3"/>
      </w:pPr>
      <w:r>
        <w:t xml:space="preserve">Banker / Service Provider</w:t>
      </w:r>
    </w:p>
    <w:p>
      <w:pPr>
        <w:pStyle w:val="FirstParagraph"/>
      </w:pPr>
      <w:r>
        <w:rPr>
          <w:bCs/>
          <w:b/>
        </w:rPr>
        <w:t xml:space="preserve">Jonathan R. Whitfield, CFA, CFP</w:t>
      </w:r>
    </w:p>
    <w:p>
      <w:pPr>
        <w:pStyle w:val="BodyText"/>
      </w:pPr>
      <w:r>
        <w:t xml:space="preserve">Senior Banker &amp; Financial Advisor</w:t>
      </w:r>
    </w:p>
    <w:p>
      <w:pPr>
        <w:pStyle w:val="BodyText"/>
      </w:pPr>
      <w:r>
        <w:t xml:space="preserve">Meridian Pacific Banking Group</w:t>
      </w:r>
    </w:p>
    <w:p>
      <w:pPr>
        <w:pStyle w:val="BodyText"/>
      </w:pPr>
      <w:r>
        <w:t xml:space="preserve">101 California Street, Suite 2800</w:t>
      </w:r>
    </w:p>
    <w:p>
      <w:pPr>
        <w:pStyle w:val="BodyText"/>
      </w:pPr>
      <w:r>
        <w:t xml:space="preserve">San Francisco, CA 94111</w:t>
      </w:r>
    </w:p>
    <w:p>
      <w:pPr>
        <w:pStyle w:val="BodyText"/>
      </w:pPr>
      <w:r>
        <w:t xml:space="preserve">United States of America</w:t>
      </w:r>
    </w:p>
    <w:p>
      <w:pPr>
        <w:pStyle w:val="BodyText"/>
      </w:pPr>
      <w:r>
        <w:t xml:space="preserve">Tel: (415) 555-0142</w:t>
      </w:r>
    </w:p>
    <w:p>
      <w:pPr>
        <w:pStyle w:val="BodyText"/>
      </w:pPr>
      <w:r>
        <w:t xml:space="preserve">Email: j.whitfield@meridianpacific.com</w:t>
      </w:r>
    </w:p>
    <w:p>
      <w:pPr>
        <w:pStyle w:val="BodyText"/>
      </w:pPr>
      <w:r>
        <w:t xml:space="preserve">EIN: 94-2847561</w:t>
      </w:r>
    </w:p>
    <w:bookmarkEnd w:id="21"/>
    <w:bookmarkStart w:id="22" w:name="client-bill-to"/>
    <w:p>
      <w:pPr>
        <w:pStyle w:val="Heading3"/>
      </w:pPr>
      <w:r>
        <w:t xml:space="preserve">Client / Bill To</w:t>
      </w:r>
    </w:p>
    <w:p>
      <w:pPr>
        <w:pStyle w:val="FirstParagraph"/>
      </w:pPr>
      <w:r>
        <w:rPr>
          <w:bCs/>
          <w:b/>
        </w:rPr>
        <w:t xml:space="preserve">Harold &amp; Diane Kowalski</w:t>
      </w:r>
    </w:p>
    <w:p>
      <w:pPr>
        <w:pStyle w:val="BodyText"/>
      </w:pPr>
      <w:r>
        <w:t xml:space="preserve">Private Banking Clients</w:t>
      </w:r>
    </w:p>
    <w:p>
      <w:pPr>
        <w:pStyle w:val="BodyText"/>
      </w:pPr>
      <w:r>
        <w:t xml:space="preserve">4280 Pacific Heights Avenue</w:t>
      </w:r>
    </w:p>
    <w:p>
      <w:pPr>
        <w:pStyle w:val="BodyText"/>
      </w:pPr>
      <w:r>
        <w:t xml:space="preserve">San Francisco, CA 94115</w:t>
      </w:r>
    </w:p>
    <w:p>
      <w:pPr>
        <w:pStyle w:val="BodyText"/>
      </w:pPr>
      <w:r>
        <w:t xml:space="preserve">United States of America</w:t>
      </w:r>
    </w:p>
    <w:p>
      <w:pPr>
        <w:pStyle w:val="BodyText"/>
      </w:pPr>
      <w:r>
        <w:t xml:space="preserve">Tel: (415) 555-0387</w:t>
      </w:r>
    </w:p>
    <w:p>
      <w:pPr>
        <w:pStyle w:val="BodyText"/>
      </w:pPr>
      <w:r>
        <w:t xml:space="preserve">Email: h.kowalski@email.com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MPB-2025-SF-04872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 (USD)</w:t>
      </w:r>
    </w:p>
    <w:bookmarkEnd w:id="23"/>
    <w:bookmarkStart w:id="24" w:name="service-period"/>
    <w:p>
      <w:pPr>
        <w:pStyle w:val="Heading3"/>
      </w:pPr>
      <w:r>
        <w:t xml:space="preserve">Service Period</w:t>
      </w:r>
    </w:p>
    <w:p>
      <w:pPr>
        <w:pStyle w:val="FirstParagraph"/>
      </w:pPr>
      <w:r>
        <w:rPr>
          <w:bCs/>
          <w:b/>
        </w:rPr>
        <w:t xml:space="preserve">Period Covered:</w:t>
      </w:r>
      <w:r>
        <w:t xml:space="preserve"> </w:t>
      </w:r>
      <w:r>
        <w:t xml:space="preserve">January 1, 2025 – June 30, 2025</w:t>
      </w:r>
    </w:p>
    <w:p>
      <w:pPr>
        <w:pStyle w:val="BodyText"/>
      </w:pPr>
      <w:r>
        <w:rPr>
          <w:bCs/>
          <w:b/>
        </w:rPr>
        <w:t xml:space="preserve">Engagement Type:</w:t>
      </w:r>
      <w:r>
        <w:t xml:space="preserve"> </w:t>
      </w:r>
      <w:r>
        <w:t xml:space="preserve">Ongoing Private Banking</w:t>
      </w:r>
    </w:p>
    <w:p>
      <w:pPr>
        <w:pStyle w:val="BodyText"/>
      </w:pPr>
      <w:r>
        <w:rPr>
          <w:bCs/>
          <w:b/>
        </w:rPr>
        <w:t xml:space="preserve">Banker Assigned:</w:t>
      </w:r>
      <w:r>
        <w:t xml:space="preserve"> </w:t>
      </w:r>
      <w:r>
        <w:t xml:space="preserve">Jonathan R. Whitfield</w:t>
      </w:r>
    </w:p>
    <w:p>
      <w:pPr>
        <w:pStyle w:val="BodyText"/>
      </w:pPr>
      <w:r>
        <w:rPr>
          <w:bCs/>
          <w:b/>
        </w:rPr>
        <w:t xml:space="preserve">Branch:</w:t>
      </w:r>
      <w:r>
        <w:t xml:space="preserve"> </w:t>
      </w:r>
      <w:r>
        <w:t xml:space="preserve">San Francisco Financial District</w:t>
      </w:r>
    </w:p>
    <w:p>
      <w:pPr>
        <w:pStyle w:val="BodyText"/>
      </w:pPr>
      <w:r>
        <w:rPr>
          <w:bCs/>
          <w:b/>
        </w:rPr>
        <w:t xml:space="preserve">State:</w:t>
      </w:r>
      <w:r>
        <w:t xml:space="preserve"> </w:t>
      </w:r>
      <w:r>
        <w:t xml:space="preserve">California, United States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Banker / Department</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Quarterly Portfolio Review &amp; Asset Allocation Strategy Session conducted at the San Francisco Financial District office</w:t>
            </w:r>
          </w:p>
        </w:tc>
        <w:tc>
          <w:tcPr/>
          <w:p>
            <w:pPr>
              <w:pStyle w:val="Compact"/>
              <w:jc w:val="left"/>
            </w:pPr>
            <w:r>
              <w:t xml:space="preserve">Senior Banker</w:t>
            </w:r>
          </w:p>
        </w:tc>
        <w:tc>
          <w:tcPr/>
          <w:p>
            <w:pPr>
              <w:pStyle w:val="Compact"/>
              <w:jc w:val="left"/>
            </w:pPr>
            <w:r>
              <w:t xml:space="preserve">6.0 hrs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2</w:t>
            </w:r>
          </w:p>
        </w:tc>
        <w:tc>
          <w:tcPr/>
          <w:p>
            <w:pPr>
              <w:pStyle w:val="Compact"/>
              <w:jc w:val="left"/>
            </w:pPr>
            <w:r>
              <w:t xml:space="preserve">Retirement Income Planning &amp; Social Security Optimization for clients residing in San Francisco, California</w:t>
            </w:r>
          </w:p>
        </w:tc>
        <w:tc>
          <w:tcPr/>
          <w:p>
            <w:pPr>
              <w:pStyle w:val="Compact"/>
              <w:jc w:val="left"/>
            </w:pPr>
            <w:r>
              <w:t xml:space="preserve">Senior Banker</w:t>
            </w:r>
          </w:p>
        </w:tc>
        <w:tc>
          <w:tcPr/>
          <w:p>
            <w:pPr>
              <w:pStyle w:val="Compact"/>
              <w:jc w:val="left"/>
            </w:pPr>
            <w:r>
              <w:t xml:space="preserve">4.5 hrs</w:t>
            </w:r>
          </w:p>
        </w:tc>
        <w:tc>
          <w:tcPr/>
          <w:p>
            <w:pPr>
              <w:pStyle w:val="Compact"/>
              <w:jc w:val="left"/>
            </w:pPr>
            <w:r>
              <w:t xml:space="preserve">$350.00</w:t>
            </w:r>
          </w:p>
        </w:tc>
        <w:tc>
          <w:tcPr/>
          <w:p>
            <w:pPr>
              <w:pStyle w:val="Compact"/>
              <w:jc w:val="left"/>
            </w:pPr>
            <w:r>
              <w:t xml:space="preserve">$1,575.00</w:t>
            </w:r>
          </w:p>
        </w:tc>
      </w:tr>
      <w:tr>
        <w:tc>
          <w:tcPr/>
          <w:p>
            <w:pPr>
              <w:pStyle w:val="Compact"/>
              <w:jc w:val="left"/>
            </w:pPr>
            <w:r>
              <w:t xml:space="preserve">3</w:t>
            </w:r>
          </w:p>
        </w:tc>
        <w:tc>
          <w:tcPr/>
          <w:p>
            <w:pPr>
              <w:pStyle w:val="Compact"/>
              <w:jc w:val="left"/>
            </w:pPr>
            <w:r>
              <w:t xml:space="preserve">Estate &amp; Trust Structuring Advisory in compliance with California state law and United States federal tax regulations</w:t>
            </w:r>
          </w:p>
        </w:tc>
        <w:tc>
          <w:tcPr/>
          <w:p>
            <w:pPr>
              <w:pStyle w:val="Compact"/>
              <w:jc w:val="left"/>
            </w:pPr>
            <w:r>
              <w:t xml:space="preserve">Banker / Legal Liaison</w:t>
            </w:r>
          </w:p>
        </w:tc>
        <w:tc>
          <w:tcPr/>
          <w:p>
            <w:pPr>
              <w:pStyle w:val="Compact"/>
              <w:jc w:val="left"/>
            </w:pPr>
            <w:r>
              <w:t xml:space="preserve">5.0 hrs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Commercial Real Estate Loan Structuring &amp; Underwriting Support for a San Francisco commercial property acquisition</w:t>
            </w:r>
          </w:p>
        </w:tc>
        <w:tc>
          <w:tcPr/>
          <w:p>
            <w:pPr>
              <w:pStyle w:val="Compact"/>
              <w:jc w:val="left"/>
            </w:pPr>
            <w:r>
              <w:t xml:space="preserve">Banker / Lending Desk</w:t>
            </w:r>
          </w:p>
        </w:tc>
        <w:tc>
          <w:tcPr/>
          <w:p>
            <w:pPr>
              <w:pStyle w:val="Compact"/>
              <w:jc w:val="left"/>
            </w:pPr>
            <w:r>
              <w:t xml:space="preserve">8.0 hrs</w:t>
            </w:r>
          </w:p>
        </w:tc>
        <w:tc>
          <w:tcPr/>
          <w:p>
            <w:pPr>
              <w:pStyle w:val="Compact"/>
              <w:jc w:val="left"/>
            </w:pPr>
            <w:r>
              <w:t xml:space="preserve">$375.00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Tax-Loss Harvesting &amp; Municipal Bond Strategy specific to California state tax obligations in the United States</w:t>
            </w:r>
          </w:p>
        </w:tc>
        <w:tc>
          <w:tcPr/>
          <w:p>
            <w:pPr>
              <w:pStyle w:val="Compact"/>
              <w:jc w:val="left"/>
            </w:pPr>
            <w:r>
              <w:t xml:space="preserve">Senior Banker</w:t>
            </w:r>
          </w:p>
        </w:tc>
        <w:tc>
          <w:tcPr/>
          <w:p>
            <w:pPr>
              <w:pStyle w:val="Compact"/>
              <w:jc w:val="left"/>
            </w:pPr>
            <w:r>
              <w:t xml:space="preserve">3.5 hrs</w:t>
            </w:r>
          </w:p>
        </w:tc>
        <w:tc>
          <w:tcPr/>
          <w:p>
            <w:pPr>
              <w:pStyle w:val="Compact"/>
              <w:jc w:val="left"/>
            </w:pPr>
            <w:r>
              <w:t xml:space="preserve">$350.00</w:t>
            </w:r>
          </w:p>
        </w:tc>
        <w:tc>
          <w:tcPr/>
          <w:p>
            <w:pPr>
              <w:pStyle w:val="Compact"/>
              <w:jc w:val="left"/>
            </w:pPr>
            <w:r>
              <w:t xml:space="preserve">$1,225.00</w:t>
            </w:r>
          </w:p>
        </w:tc>
      </w:tr>
      <w:tr>
        <w:tc>
          <w:tcPr/>
          <w:p>
            <w:pPr>
              <w:pStyle w:val="Compact"/>
              <w:jc w:val="left"/>
            </w:pPr>
            <w:r>
              <w:t xml:space="preserve">6</w:t>
            </w:r>
          </w:p>
        </w:tc>
        <w:tc>
          <w:tcPr/>
          <w:p>
            <w:pPr>
              <w:pStyle w:val="Compact"/>
              <w:jc w:val="left"/>
            </w:pPr>
            <w:r>
              <w:t xml:space="preserve">Monthly Account Reconciliation, Transaction Monitoring &amp; Fraud Prevention Review for all client accounts held at the San Francisco branch</w:t>
            </w:r>
          </w:p>
        </w:tc>
        <w:tc>
          <w:tcPr/>
          <w:p>
            <w:pPr>
              <w:pStyle w:val="Compact"/>
              <w:jc w:val="left"/>
            </w:pPr>
            <w:r>
              <w:t xml:space="preserve">Banker / Operations</w:t>
            </w:r>
          </w:p>
        </w:tc>
        <w:tc>
          <w:tcPr/>
          <w:p>
            <w:pPr>
              <w:pStyle w:val="Compact"/>
              <w:jc w:val="left"/>
            </w:pPr>
            <w:r>
              <w:t xml:space="preserve">12.0 hrs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Annual Financial Health Assessment &amp; Comprehensive Banking Relationship Review for the San Francisco, United States client portfolio</w:t>
            </w:r>
          </w:p>
        </w:tc>
        <w:tc>
          <w:tcPr/>
          <w:p>
            <w:pPr>
              <w:pStyle w:val="Compact"/>
              <w:jc w:val="left"/>
            </w:pPr>
            <w:r>
              <w:t xml:space="preserve">Senior Banker</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8</w:t>
            </w:r>
          </w:p>
        </w:tc>
        <w:tc>
          <w:tcPr/>
          <w:p>
            <w:pPr>
              <w:pStyle w:val="Compact"/>
              <w:jc w:val="left"/>
            </w:pPr>
            <w:r>
              <w:t xml:space="preserve">Wire Transfer Processing, International Remittance Coordination &amp; Currency Exchange Advisory (USD to EUR, JPY)</w:t>
            </w:r>
          </w:p>
        </w:tc>
        <w:tc>
          <w:tcPr/>
          <w:p>
            <w:pPr>
              <w:pStyle w:val="Compact"/>
              <w:jc w:val="left"/>
            </w:pPr>
            <w:r>
              <w:t xml:space="preserve">Banker / Treasury Desk</w:t>
            </w:r>
          </w:p>
        </w:tc>
        <w:tc>
          <w:tcPr/>
          <w:p>
            <w:pPr>
              <w:pStyle w:val="Compact"/>
              <w:jc w:val="left"/>
            </w:pPr>
            <w:r>
              <w:t xml:space="preserve">3.0 hrs</w:t>
            </w:r>
          </w:p>
        </w:tc>
        <w:tc>
          <w:tcPr/>
          <w:p>
            <w:pPr>
              <w:pStyle w:val="Compact"/>
              <w:jc w:val="left"/>
            </w:pPr>
            <w:r>
              <w:t xml:space="preserve">$250.00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$14,450.00</w:t>
            </w:r>
          </w:p>
        </w:tc>
      </w:tr>
      <w:tr>
        <w:tc>
          <w:tcPr/>
          <w:p>
            <w:pPr>
              <w:pStyle w:val="Compact"/>
              <w:jc w:val="left"/>
            </w:pPr>
            <w:r>
              <w:t xml:space="preserve">California State Sales &amp; Service Tax (8.5%)</w:t>
            </w:r>
          </w:p>
        </w:tc>
        <w:tc>
          <w:tcPr/>
          <w:p>
            <w:pPr>
              <w:pStyle w:val="Compact"/>
              <w:jc w:val="right"/>
            </w:pPr>
            <w:r>
              <w:t xml:space="preserve">$1,228.25</w:t>
            </w:r>
          </w:p>
        </w:tc>
      </w:tr>
      <w:tr>
        <w:tc>
          <w:tcPr/>
          <w:p>
            <w:pPr>
              <w:pStyle w:val="Compact"/>
              <w:jc w:val="left"/>
            </w:pPr>
            <w:r>
              <w:t xml:space="preserve">San Francisco City &amp; County Tax (1.5%)</w:t>
            </w:r>
          </w:p>
        </w:tc>
        <w:tc>
          <w:tcPr/>
          <w:p>
            <w:pPr>
              <w:pStyle w:val="Compact"/>
              <w:jc w:val="right"/>
            </w:pPr>
            <w:r>
              <w:t xml:space="preserve">$216.75</w:t>
            </w:r>
          </w:p>
        </w:tc>
      </w:tr>
      <w:tr>
        <w:tc>
          <w:tcPr/>
          <w:p>
            <w:pPr>
              <w:pStyle w:val="Compact"/>
              <w:jc w:val="left"/>
            </w:pPr>
            <w:r>
              <w:t xml:space="preserve">United States Federal Withholding (0.0% – Exempt)</w:t>
            </w:r>
          </w:p>
        </w:tc>
        <w:tc>
          <w:tcPr/>
          <w:p>
            <w:pPr>
              <w:pStyle w:val="Compact"/>
              <w:jc w:val="right"/>
            </w:pPr>
            <w:r>
              <w:t xml:space="preserve">$0.00</w:t>
            </w:r>
          </w:p>
        </w:tc>
      </w:tr>
      <w:tr>
        <w:tc>
          <w:tcPr/>
          <w:p>
            <w:pPr>
              <w:pStyle w:val="Compact"/>
              <w:jc w:val="left"/>
            </w:pPr>
            <w:r>
              <w:t xml:space="preserve">Grand Total Due (USD)</w:t>
            </w:r>
          </w:p>
        </w:tc>
        <w:tc>
          <w:tcPr/>
          <w:p>
            <w:pPr>
              <w:pStyle w:val="Compact"/>
              <w:jc w:val="right"/>
            </w:pPr>
            <w:r>
              <w:t xml:space="preserve">$15,895.00</w:t>
            </w:r>
          </w:p>
        </w:tc>
      </w:tr>
    </w:tbl>
    <w:bookmarkStart w:id="25" w:name="invoice-notes-payment-instructions"/>
    <w:p>
      <w:pPr>
        <w:pStyle w:val="Heading3"/>
      </w:pPr>
      <w:r>
        <w:t xml:space="preserve">Invoice Notes &amp; Payment Instructions</w:t>
      </w:r>
    </w:p>
    <w:p>
      <w:pPr>
        <w:pStyle w:val="FirstParagraph"/>
      </w:pPr>
      <w:r>
        <w:t xml:space="preserve">This Invoice has been issued by Jonathan R. Whitfield, Senior Banker at Meridian Pacific Banking Group, operating from the San Francisco Financial District office in San Francisco, California, United States. All services rendered under this Invoice were performed in accordance with the California Financial Code, the United States Bank Secrecy Act, and applicable federal banking regulations.</w:t>
      </w:r>
    </w:p>
    <w:p>
      <w:pPr>
        <w:pStyle w:val="BodyText"/>
      </w:pPr>
      <w:r>
        <w:t xml:space="preserve">Payment for this Invoice is due within thirty (30) calendar days from the date of issue. Please remit payment via ACH transfer, wire transfer, or certified check to Meridian Pacific Banking Group, 101 California Street, Suite 2800, San Francisco, CA 94111, United States. Account Number: 4471-8829-0034. Routing Number (ABA): 121000358.</w:t>
      </w:r>
    </w:p>
    <w:p>
      <w:pPr>
        <w:pStyle w:val="BodyText"/>
      </w:pPr>
      <w:r>
        <w:t xml:space="preserve">Should any dispute arise regarding the line items listed on this Invoice, the client is requested to contact the assigned Banker directly within fifteen (15) business days. All disputes will be resolved under the jurisdiction of the State of California, United States, in the Superior Court of San Francisco County.</w:t>
      </w:r>
    </w:p>
    <w:p>
      <w:pPr>
        <w:pStyle w:val="BodyText"/>
      </w:pPr>
      <w:r>
        <w:t xml:space="preserve">This Invoice constitutes a binding financial document under United States commercial law. Retain this document for your tax records. The Banker and Meridian Pacific Banking Group are not liable for late payment penalties exceeding 1.5% per month on the outstanding balance, in compliance with California Civil Code Section 1671.</w:t>
      </w:r>
    </w:p>
    <w:p>
      <w:pPr>
        <w:pStyle w:val="BodyText"/>
      </w:pPr>
      <w:r>
        <w:t xml:space="preserve">Thank you for your continued trust in our banking services here in San Francisco, United States. We remain committed to providing exceptional financial stewardship to our valued clients throughout the Bay Area and beyond.</w:t>
      </w:r>
    </w:p>
    <w:bookmarkEnd w:id="25"/>
    <w:p>
      <w:pPr>
        <w:pStyle w:val="BodyText"/>
      </w:pPr>
      <w:r>
        <w:rPr>
          <w:bCs/>
          <w:b/>
        </w:rPr>
        <w:t xml:space="preserve">Meridian Pacific Banking Group</w:t>
      </w:r>
      <w:r>
        <w:t xml:space="preserve"> </w:t>
      </w:r>
      <w:r>
        <w:t xml:space="preserve">| 101 California Street, Suite 2800, San Francisco, CA 94111, United States</w:t>
      </w:r>
    </w:p>
    <w:p>
      <w:pPr>
        <w:pStyle w:val="BodyText"/>
      </w:pPr>
      <w:r>
        <w:t xml:space="preserve">Member FDIC | Equal Housing Lender | NMLS ID: 1847293</w:t>
      </w:r>
    </w:p>
    <w:p>
      <w:pPr>
        <w:pStyle w:val="BodyText"/>
      </w:pPr>
      <w:r>
        <w:t xml:space="preserve">Invoice MPB-2025-SF-04872 | Generated: June 15, 2025 | Page 1 of 1</w:t>
      </w:r>
    </w:p>
    <w:p>
      <w:pPr>
        <w:pStyle w:val="BodyText"/>
      </w:pPr>
      <w:r>
        <w:t xml:space="preserve">This Invoice is valid only when accompanied by the original digital signature of the issuing Banker. Unauthorized reproduction is prohibited under United States federal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Financial Services - San Francisco, United States</dc:title>
  <dc:creator/>
  <dc:language>en</dc:language>
  <cp:keywords/>
  <dcterms:created xsi:type="dcterms:W3CDTF">2026-10-10T08:09:33Z</dcterms:created>
  <dcterms:modified xsi:type="dcterms:W3CDTF">2026-10-10T08:09:33Z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