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Banking &amp; Financial Advisory Services</w:t>
      </w:r>
    </w:p>
    <w:p>
      <w:pPr>
        <w:pStyle w:val="BodyText"/>
      </w:pPr>
      <w:r>
        <w:t xml:space="preserve">Caracas, Venezuela — Republic of Venezuela</w:t>
      </w:r>
    </w:p>
    <w:p>
      <w:pPr>
        <w:pStyle w:val="BodyText"/>
      </w:pPr>
      <w:r>
        <w:t xml:space="preserve">Licensed Banker — BCV Registration No. 2024-VC-0847</w:t>
      </w:r>
    </w:p>
    <w:bookmarkEnd w:id="20"/>
    <w:p>
      <w:pPr>
        <w:pStyle w:val="BodyText"/>
      </w:pPr>
      <w:r>
        <w:t xml:space="preserve">Invoice Number:</w:t>
      </w:r>
      <w:r>
        <w:t xml:space="preserve"> </w:t>
      </w:r>
      <w:r>
        <w:t xml:space="preserve">INV-VC-2025-003847</w:t>
      </w:r>
      <w:r>
        <w:br/>
      </w:r>
      <w:r>
        <w:t xml:space="preserve">Date of Issue:</w:t>
      </w:r>
      <w:r>
        <w:t xml:space="preserve"> </w:t>
      </w:r>
      <w:r>
        <w:t xml:space="preserve">June 15, 2025</w:t>
      </w:r>
      <w:r>
        <w:br/>
      </w:r>
      <w:r>
        <w:t xml:space="preserve">Due Date:</w:t>
      </w:r>
      <w:r>
        <w:t xml:space="preserve"> </w:t>
      </w:r>
      <w:r>
        <w:t xml:space="preserve">July 15, 2025</w:t>
      </w:r>
      <w:r>
        <w:br/>
      </w:r>
      <w:r>
        <w:t xml:space="preserve">Currency:</w:t>
      </w:r>
      <w:r>
        <w:t xml:space="preserve"> </w:t>
      </w:r>
      <w:r>
        <w:t xml:space="preserve">USD (United States Dollar)</w:t>
      </w:r>
    </w:p>
    <w:p>
      <w:pPr>
        <w:pStyle w:val="BodyText"/>
      </w:pPr>
      <w:r>
        <w:t xml:space="preserve">Issued By (Banker):</w:t>
      </w:r>
      <w:r>
        <w:br/>
      </w:r>
      <w:r>
        <w:t xml:space="preserve">Ricardo A. Mendoza, CFA</w:t>
      </w:r>
      <w:r>
        <w:br/>
      </w:r>
      <w:r>
        <w:t xml:space="preserve">Senior Banker &amp; Financial Consultant</w:t>
      </w:r>
      <w:r>
        <w:br/>
      </w:r>
      <w:r>
        <w:t xml:space="preserve">Banco Mercantil del Caribe, S.A.</w:t>
      </w:r>
      <w:r>
        <w:br/>
      </w:r>
      <w:r>
        <w:t xml:space="preserve">Torre Financiera, Piso 14</w:t>
      </w:r>
      <w:r>
        <w:br/>
      </w:r>
      <w:r>
        <w:t xml:space="preserve">Av. Francisco de Miranda, Chacao</w:t>
      </w:r>
      <w:r>
        <w:br/>
      </w:r>
      <w:r>
        <w:t xml:space="preserve">Caracas, Venezuela 1060</w:t>
      </w:r>
      <w:r>
        <w:br/>
      </w:r>
      <w:r>
        <w:t xml:space="preserve">RIF: J-39876541-2</w:t>
      </w:r>
      <w:r>
        <w:br/>
      </w:r>
      <w:r>
        <w:t xml:space="preserve">Tel: +58 (212) 555-0147</w:t>
      </w:r>
      <w:r>
        <w:br/>
      </w:r>
      <w:r>
        <w:t xml:space="preserve">Email: r.mendoza@bancocaribe.com.ve</w:t>
      </w:r>
    </w:p>
    <w:p>
      <w:pPr>
        <w:pStyle w:val="BodyText"/>
      </w:pPr>
      <w:r>
        <w:t xml:space="preserve">Billed To</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r>
              <w:t xml:space="preserve"> </w:t>
            </w:r>
            <w:r>
              <w:t xml:space="preserve">Corporación Industrial del Este, C.A.</w:t>
            </w:r>
          </w:p>
        </w:tc>
        <w:tc>
          <w:tcPr/>
          <w:p>
            <w:pPr>
              <w:pStyle w:val="Compact"/>
              <w:jc w:val="left"/>
            </w:pPr>
            <w:r>
              <w:rPr>
                <w:bCs/>
                <w:b/>
              </w:rPr>
              <w:t xml:space="preserve">RIF:</w:t>
            </w:r>
            <w:r>
              <w:t xml:space="preserve"> </w:t>
            </w:r>
            <w:r>
              <w:t xml:space="preserve">J-02345678-9</w:t>
            </w:r>
          </w:p>
        </w:tc>
      </w:tr>
      <w:tr>
        <w:tc>
          <w:tcPr/>
          <w:p>
            <w:pPr>
              <w:pStyle w:val="Compact"/>
              <w:jc w:val="left"/>
            </w:pPr>
            <w:r>
              <w:rPr>
                <w:bCs/>
                <w:b/>
              </w:rPr>
              <w:t xml:space="preserve">Address:</w:t>
            </w:r>
            <w:r>
              <w:t xml:space="preserve"> </w:t>
            </w:r>
            <w:r>
              <w:t xml:space="preserve">Urb. El Rosal, Av. Principal, Edif. Corporativo, Piso 8, Caracas, Venezuela 1080</w:t>
            </w:r>
          </w:p>
        </w:tc>
        <w:tc>
          <w:tcPr/>
          <w:p>
            <w:pPr>
              <w:pStyle w:val="Compact"/>
              <w:jc w:val="left"/>
            </w:pPr>
            <w:r>
              <w:rPr>
                <w:bCs/>
                <w:b/>
              </w:rPr>
              <w:t xml:space="preserve">Contact:</w:t>
            </w:r>
            <w:r>
              <w:t xml:space="preserve"> </w:t>
            </w:r>
            <w:r>
              <w:t xml:space="preserve">Ing. María Fernanda López</w:t>
            </w:r>
          </w:p>
        </w:tc>
      </w:tr>
      <w:tr>
        <w:tc>
          <w:tcPr/>
          <w:p>
            <w:pPr>
              <w:pStyle w:val="Compact"/>
              <w:jc w:val="left"/>
            </w:pPr>
            <w:r>
              <w:rPr>
                <w:bCs/>
                <w:b/>
              </w:rPr>
              <w:t xml:space="preserve">Phone:</w:t>
            </w:r>
            <w:r>
              <w:t xml:space="preserve"> </w:t>
            </w:r>
            <w:r>
              <w:t xml:space="preserve">+58 (212) 777-3321</w:t>
            </w:r>
          </w:p>
        </w:tc>
        <w:tc>
          <w:tcPr/>
          <w:p>
            <w:pPr>
              <w:pStyle w:val="Compact"/>
              <w:jc w:val="left"/>
            </w:pPr>
            <w:r>
              <w:rPr>
                <w:bCs/>
                <w:b/>
              </w:rPr>
              <w:t xml:space="preserve">Email:</w:t>
            </w:r>
            <w:r>
              <w:t xml:space="preserve"> </w:t>
            </w:r>
            <w:r>
              <w:t xml:space="preserve">m.lopez@cieste.com.ve</w:t>
            </w:r>
          </w:p>
        </w:tc>
      </w:tr>
    </w:tbl>
    <w:p>
      <w:pPr>
        <w:pStyle w:val="BodyText"/>
      </w:pPr>
      <w:r>
        <w:t xml:space="preserve">Description of Banking Services Rendered by the Banker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Comprehensive corporate banking account management and treasury advisory services provided by the assigned Banker at the Caracas branch, including daily reconciliation, liquidity planning, and cash flow optimization for the client's operations in Venezuela Caracas.</w:t>
            </w:r>
          </w:p>
        </w:tc>
        <w:tc>
          <w:tcPr/>
          <w:p>
            <w:pPr>
              <w:pStyle w:val="Compact"/>
              <w:jc w:val="left"/>
            </w:pPr>
            <w:r>
              <w:t xml:space="preserve">Jan 1 – Jun 30, 2025</w:t>
            </w:r>
          </w:p>
        </w:tc>
        <w:tc>
          <w:tcPr/>
          <w:p>
            <w:pPr>
              <w:pStyle w:val="Compact"/>
              <w:jc w:val="left"/>
            </w:pPr>
            <w:r>
              <w:t xml:space="preserve">6 months</w:t>
            </w:r>
          </w:p>
        </w:tc>
        <w:tc>
          <w:tcPr/>
          <w:p>
            <w:pPr>
              <w:pStyle w:val="Compact"/>
              <w:jc w:val="left"/>
            </w:pPr>
            <w:r>
              <w:t xml:space="preserve">$1,250.00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Foreign exchange advisory and currency hedging strategy consultation. The Banker prepared a detailed FX risk mitigation plan tailored to the client's import-export operations between Venezuela Caracas and international markets, including forward contracts and options structuring.</w:t>
            </w:r>
          </w:p>
        </w:tc>
        <w:tc>
          <w:tcPr/>
          <w:p>
            <w:pPr>
              <w:pStyle w:val="Compact"/>
              <w:jc w:val="left"/>
            </w:pPr>
            <w:r>
              <w:t xml:space="preserve">Feb 2025</w:t>
            </w:r>
          </w:p>
        </w:tc>
        <w:tc>
          <w:tcPr/>
          <w:p>
            <w:pPr>
              <w:pStyle w:val="Compact"/>
              <w:jc w:val="left"/>
            </w:pPr>
            <w:r>
              <w:t xml:space="preserve">1 engagement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Trade finance facilitation: Letter of Credit issuance, documentary collection processing, and export credit insurance coordination. The Banker managed all documentation and compliance with Banco Central de Venezuela (BCV) regulations applicable to transactions originating from Venezuela Caracas.</w:t>
            </w:r>
          </w:p>
        </w:tc>
        <w:tc>
          <w:tcPr/>
          <w:p>
            <w:pPr>
              <w:pStyle w:val="Compact"/>
              <w:jc w:val="left"/>
            </w:pPr>
            <w:r>
              <w:t xml:space="preserve">Mar – May 2025</w:t>
            </w:r>
          </w:p>
        </w:tc>
        <w:tc>
          <w:tcPr/>
          <w:p>
            <w:pPr>
              <w:pStyle w:val="Compact"/>
              <w:jc w:val="left"/>
            </w:pPr>
            <w:r>
              <w:t xml:space="preserve">4 LCs</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Investment portfolio restructuring and wealth management advisory. The Banker conducted a full review of the client's fixed-income and equity holdings, recommending reallocation strategies compliant with Venezuelan securities regulations (CNV) and international standards.</w:t>
            </w:r>
          </w:p>
        </w:tc>
        <w:tc>
          <w:tcPr/>
          <w:p>
            <w:pPr>
              <w:pStyle w:val="Compact"/>
              <w:jc w:val="left"/>
            </w:pPr>
            <w:r>
              <w:t xml:space="preserve">Apr 2025</w:t>
            </w:r>
          </w:p>
        </w:tc>
        <w:tc>
          <w:tcPr/>
          <w:p>
            <w:pPr>
              <w:pStyle w:val="Compact"/>
              <w:jc w:val="left"/>
            </w:pPr>
            <w:r>
              <w:t xml:space="preserve">1 engagement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Regulatory compliance and anti-money laundering (AML) audit support. The Banker prepared the annual compliance report, conducted internal training sessions for the client's finance team in Caracas, and ensured full alignment with BCV circulars and FATF recommendations.</w:t>
            </w:r>
          </w:p>
        </w:tc>
        <w:tc>
          <w:tcPr/>
          <w:p>
            <w:pPr>
              <w:pStyle w:val="Compact"/>
              <w:jc w:val="left"/>
            </w:pPr>
            <w:r>
              <w:t xml:space="preserve">May 2025</w:t>
            </w:r>
          </w:p>
        </w:tc>
        <w:tc>
          <w:tcPr/>
          <w:p>
            <w:pPr>
              <w:pStyle w:val="Compact"/>
              <w:jc w:val="left"/>
            </w:pPr>
            <w:r>
              <w:t xml:space="preserve">1 engagement</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Corporate loan structuring and syndication advisory. The Banker facilitated a multi-currency syndicated loan facility of USD 5,000,000, coordinating with three international lenders and ensuring all documentation met the legal requirements of the Republic of Venezuela.</w:t>
            </w:r>
          </w:p>
        </w:tc>
        <w:tc>
          <w:tcPr/>
          <w:p>
            <w:pPr>
              <w:pStyle w:val="Compact"/>
              <w:jc w:val="left"/>
            </w:pPr>
            <w:r>
              <w:t xml:space="preserve">Jun 2025</w:t>
            </w:r>
          </w:p>
        </w:tc>
        <w:tc>
          <w:tcPr/>
          <w:p>
            <w:pPr>
              <w:pStyle w:val="Compact"/>
              <w:jc w:val="left"/>
            </w:pPr>
            <w:r>
              <w:t xml:space="preserve">1 engagement</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$23,300.00</w:t>
            </w:r>
          </w:p>
        </w:tc>
      </w:tr>
      <w:tr>
        <w:tc>
          <w:tcPr/>
          <w:p>
            <w:pPr>
              <w:pStyle w:val="Compact"/>
              <w:jc w:val="left"/>
            </w:pPr>
            <w:r>
              <w:t xml:space="preserve">VAT (16% — Impuesto al Valor Agregado, Venezuela)</w:t>
            </w:r>
          </w:p>
        </w:tc>
        <w:tc>
          <w:tcPr/>
          <w:p>
            <w:pPr>
              <w:pStyle w:val="Compact"/>
              <w:jc w:val="left"/>
            </w:pPr>
            <w:r>
              <w:t xml:space="preserve">$3,728.00</w:t>
            </w:r>
          </w:p>
        </w:tc>
      </w:tr>
      <w:tr>
        <w:tc>
          <w:tcPr/>
          <w:p>
            <w:pPr>
              <w:pStyle w:val="Compact"/>
              <w:jc w:val="left"/>
            </w:pPr>
            <w:r>
              <w:t xml:space="preserve">BCV Transaction Fee (0.5%)</w:t>
            </w:r>
          </w:p>
        </w:tc>
        <w:tc>
          <w:tcPr/>
          <w:p>
            <w:pPr>
              <w:pStyle w:val="Compact"/>
              <w:jc w:val="left"/>
            </w:pPr>
            <w:r>
              <w:t xml:space="preserve">$116.50</w:t>
            </w:r>
          </w:p>
        </w:tc>
      </w:tr>
      <w:tr>
        <w:tc>
          <w:tcPr/>
          <w:p>
            <w:pPr>
              <w:pStyle w:val="Compact"/>
              <w:jc w:val="left"/>
            </w:pPr>
            <w:r>
              <w:t xml:space="preserve">Wire Transfer &amp; Processing Charges</w:t>
            </w:r>
          </w:p>
        </w:tc>
        <w:tc>
          <w:tcPr/>
          <w:p>
            <w:pPr>
              <w:pStyle w:val="Compact"/>
              <w:jc w:val="left"/>
            </w:pPr>
            <w:r>
              <w:t xml:space="preserve">$85.00</w:t>
            </w:r>
          </w:p>
        </w:tc>
      </w:tr>
      <w:tr>
        <w:tc>
          <w:tcPr/>
          <w:p>
            <w:pPr>
              <w:pStyle w:val="Compact"/>
              <w:jc w:val="left"/>
            </w:pPr>
            <w:r>
              <w:t xml:space="preserve">GRAND TOTAL DUE</w:t>
            </w:r>
          </w:p>
        </w:tc>
        <w:tc>
          <w:tcPr/>
          <w:p>
            <w:pPr>
              <w:pStyle w:val="Compact"/>
              <w:jc w:val="left"/>
            </w:pPr>
            <w:r>
              <w:t xml:space="preserve">$27,229.50</w:t>
            </w:r>
          </w:p>
        </w:tc>
      </w:tr>
    </w:tbl>
    <w:p>
      <w:pPr>
        <w:pStyle w:val="BodyText"/>
      </w:pPr>
      <w:r>
        <w:t xml:space="preserve">Payment Instructions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r>
              <w:t xml:space="preserve"> </w:t>
            </w:r>
            <w:r>
              <w:t xml:space="preserve">Banco Mercantil del Caribe, S.A.</w:t>
            </w:r>
          </w:p>
        </w:tc>
        <w:tc>
          <w:tcPr/>
          <w:p>
            <w:pPr>
              <w:pStyle w:val="Compact"/>
              <w:jc w:val="left"/>
            </w:pPr>
            <w:r>
              <w:rPr>
                <w:bCs/>
                <w:b/>
              </w:rPr>
              <w:t xml:space="preserve">Branch:</w:t>
            </w:r>
            <w:r>
              <w:t xml:space="preserve"> </w:t>
            </w:r>
            <w:r>
              <w:t xml:space="preserve">Caracas — Chacao</w:t>
            </w:r>
          </w:p>
        </w:tc>
      </w:tr>
      <w:tr>
        <w:tc>
          <w:tcPr/>
          <w:p>
            <w:pPr>
              <w:pStyle w:val="Compact"/>
              <w:jc w:val="left"/>
            </w:pPr>
            <w:r>
              <w:rPr>
                <w:bCs/>
                <w:b/>
              </w:rPr>
              <w:t xml:space="preserve">Account Name:</w:t>
            </w:r>
            <w:r>
              <w:t xml:space="preserve"> </w:t>
            </w:r>
            <w:r>
              <w:t xml:space="preserve">Corporación Industrial del Este, C.A.</w:t>
            </w:r>
          </w:p>
        </w:tc>
        <w:tc>
          <w:tcPr/>
          <w:p>
            <w:pPr>
              <w:pStyle w:val="Compact"/>
              <w:jc w:val="left"/>
            </w:pPr>
            <w:r>
              <w:rPr>
                <w:bCs/>
                <w:b/>
              </w:rPr>
              <w:t xml:space="preserve">Account No.:</w:t>
            </w:r>
            <w:r>
              <w:t xml:space="preserve"> </w:t>
            </w:r>
            <w:r>
              <w:t xml:space="preserve">0102-0045-6789-1234567890</w:t>
            </w:r>
          </w:p>
        </w:tc>
      </w:tr>
      <w:tr>
        <w:tc>
          <w:tcPr/>
          <w:p>
            <w:pPr>
              <w:pStyle w:val="Compact"/>
              <w:jc w:val="left"/>
            </w:pPr>
            <w:r>
              <w:rPr>
                <w:bCs/>
                <w:b/>
              </w:rPr>
              <w:t xml:space="preserve">SWIFT/BIC:</w:t>
            </w:r>
            <w:r>
              <w:t xml:space="preserve"> </w:t>
            </w:r>
            <w:r>
              <w:t xml:space="preserve">BMDCVE2A</w:t>
            </w:r>
          </w:p>
        </w:tc>
        <w:tc>
          <w:tcPr/>
          <w:p>
            <w:pPr>
              <w:pStyle w:val="Compact"/>
              <w:jc w:val="left"/>
            </w:pPr>
            <w:r>
              <w:rPr>
                <w:bCs/>
                <w:b/>
              </w:rPr>
              <w:t xml:space="preserve">IBAN:</w:t>
            </w:r>
            <w:r>
              <w:t xml:space="preserve"> </w:t>
            </w:r>
            <w:r>
              <w:t xml:space="preserve">VE29 0102 0004 5678 9123 4567 890</w:t>
            </w:r>
          </w:p>
        </w:tc>
      </w:tr>
      <w:tr>
        <w:tc>
          <w:tcPr>
            <w:gridSpan w:val="2"/>
          </w:tcPr>
          <w:p>
            <w:pPr>
              <w:pStyle w:val="Compact"/>
              <w:jc w:val="left"/>
            </w:pPr>
            <w:r>
              <w:rPr>
                <w:bCs/>
                <w:b/>
              </w:rPr>
              <w:t xml:space="preserve">Payment Method:</w:t>
            </w:r>
            <w:r>
              <w:t xml:space="preserve"> </w:t>
            </w:r>
            <w:r>
              <w:t xml:space="preserve">International wire transfer (USD) or local transfer in Venezuelan Bolívares (VES) at the BCV-published exchange rate on the date of payment. Please reference Invoice Number INV-VC-2025-003847 in all remittances.</w:t>
            </w:r>
          </w:p>
        </w:tc>
      </w:tr>
    </w:tbl>
    <w:bookmarkStart w:id="21" w:name="terms-conditions-of-this-invoice"/>
    <w:p>
      <w:pPr>
        <w:pStyle w:val="Heading3"/>
      </w:pPr>
      <w:r>
        <w:t xml:space="preserve">Terms &amp; Conditions of This Invoice</w:t>
      </w:r>
    </w:p>
    <w:p>
      <w:pPr>
        <w:numPr>
          <w:ilvl w:val="0"/>
          <w:numId w:val="1001"/>
        </w:numPr>
        <w:pStyle w:val="Compact"/>
      </w:pPr>
      <w:r>
        <w:t xml:space="preserve">This Invoice is issued by the undersigned Banker, Ricardo A. Mendoza, acting in his official capacity as Senior Banker at Banco Mercantil del Caribe, S.A., with principal offices in Venezuela Caracas. All services described herein were rendered in accordance with the Master Banking Services Agreement dated January 5, 2025, between the Banker's institution and the client.</w:t>
      </w:r>
    </w:p>
    <w:p>
      <w:pPr>
        <w:numPr>
          <w:ilvl w:val="0"/>
          <w:numId w:val="1001"/>
        </w:numPr>
        <w:pStyle w:val="Compact"/>
      </w:pPr>
      <w:r>
        <w:t xml:space="preserve">Payment of this Invoice is due within thirty (30) calendar days from the date of issue. Late payments shall accrue interest at a rate of 1.5% per month, calculated on the outstanding balance, in accordance with Venezuelan commercial law (Código de Comercio de Venezuela).</w:t>
      </w:r>
    </w:p>
    <w:p>
      <w:pPr>
        <w:numPr>
          <w:ilvl w:val="0"/>
          <w:numId w:val="1001"/>
        </w:numPr>
        <w:pStyle w:val="Compact"/>
      </w:pPr>
      <w:r>
        <w:t xml:space="preserve">All amounts stated in this Invoice are in United States Dollars (USD). In the event that payment is made in Venezuelan Bolívares (VES), the conversion shall be executed at the official exchange rate published by the Banco Central de Venezuela (BCV) on the date the funds are received in the designated account in Caracas.</w:t>
      </w:r>
    </w:p>
    <w:p>
      <w:pPr>
        <w:numPr>
          <w:ilvl w:val="0"/>
          <w:numId w:val="1001"/>
        </w:numPr>
        <w:pStyle w:val="Compact"/>
      </w:pPr>
      <w:r>
        <w:t xml:space="preserve">The Banker warrants that all advisory, structuring, and compliance services described in this Invoice were performed with the professional diligence, confidentiality, and regulatory compliance expected of a licensed banking professional operating in Venezuela Caracas under the supervision of the BCV and the CNV.</w:t>
      </w:r>
    </w:p>
    <w:p>
      <w:pPr>
        <w:numPr>
          <w:ilvl w:val="0"/>
          <w:numId w:val="1001"/>
        </w:numPr>
        <w:pStyle w:val="Compact"/>
      </w:pPr>
      <w:r>
        <w:t xml:space="preserve">This Invoice constitutes the final and complete statement of charges for the services rendered during the period specified. No additional fees, surcharges, or expenses shall be invoiced separately for the engagements listed herein unless expressly agreed in writing by both parties.</w:t>
      </w:r>
    </w:p>
    <w:p>
      <w:pPr>
        <w:numPr>
          <w:ilvl w:val="0"/>
          <w:numId w:val="1001"/>
        </w:numPr>
        <w:pStyle w:val="Compact"/>
      </w:pPr>
      <w:r>
        <w:t xml:space="preserve">In the event of any dispute arising from this Invoice or the services it describes, the parties agree to submit to the exclusive jurisdiction of the commercial courts of Caracas, Venezuela, in accordance with the applicable laws of the Republic of Venezuela.</w:t>
      </w:r>
    </w:p>
    <w:p>
      <w:pPr>
        <w:numPr>
          <w:ilvl w:val="0"/>
          <w:numId w:val="1001"/>
        </w:numPr>
        <w:pStyle w:val="Compact"/>
      </w:pPr>
      <w:r>
        <w:t xml:space="preserve">The Banker and the issuing institution reserve the right to suspend ongoing services if payment of this Invoice is not received by the stated due date. A written notice of thirty (30) days shall be provided prior to any suspension of banking services.</w:t>
      </w:r>
    </w:p>
    <w:p>
      <w:pPr>
        <w:numPr>
          <w:ilvl w:val="0"/>
          <w:numId w:val="1001"/>
        </w:numPr>
        <w:pStyle w:val="Compact"/>
      </w:pPr>
      <w:r>
        <w:t xml:space="preserve">This Invoice is valid for one hundred eighty (180) days from the date of issue. After this period, the Banker reserves the right to reissue the Invoice with updated exchange rates and applicable regulatory fees as determined by the BCV.</w:t>
      </w:r>
    </w:p>
    <w:bookmarkEnd w:id="21"/>
    <w:p>
      <w:pPr>
        <w:pStyle w:val="FirstParagraph"/>
      </w:pPr>
      <w:r>
        <w:rPr>
          <w:bCs/>
          <w:b/>
        </w:rPr>
        <w:t xml:space="preserve">Banker's Certification:</w:t>
      </w:r>
      <w:r>
        <w:t xml:space="preserve"> </w:t>
      </w:r>
      <w:r>
        <w:t xml:space="preserve">I, Ricardo A. Mendoza, hereby certify that this Invoice accurately reflects the banking and financial advisory services rendered to the above-named client during the stated period. All services were conducted in full compliance with the regulations of the Banco Central de Venezuela, the Comisión Nacional de Valores, and applicable international financial standards.</w:t>
      </w:r>
    </w:p>
    <w:p>
      <w:pPr>
        <w:pStyle w:val="BodyText"/>
      </w:pPr>
      <w:r>
        <w:rPr>
          <w:bCs/>
          <w:b/>
        </w:rPr>
        <w:t xml:space="preserve">Signed:</w:t>
      </w:r>
      <w:r>
        <w:t xml:space="preserve"> </w:t>
      </w:r>
      <w:r>
        <w:t xml:space="preserve">Ricardo A. Mendoza, CFA — Senior Banker</w:t>
      </w:r>
      <w:r>
        <w:br/>
      </w:r>
      <w:r>
        <w:t xml:space="preserve">Banco Mercantil del Caribe, S.A. — Caracas, Venezuela</w:t>
      </w:r>
      <w:r>
        <w:br/>
      </w:r>
      <w:r>
        <w:t xml:space="preserve">BCV License No. 2024-VC-0847 | CNV Registration No. 112-2023</w:t>
      </w:r>
    </w:p>
    <w:p>
      <w:pPr>
        <w:pStyle w:val="BodyText"/>
      </w:pPr>
      <w:r>
        <w:t xml:space="preserve">© 2025 Banco Mercantil del Caribe, S.A. — All rights reserved. This Invoice was generated electronically and is valid without a physical signature. For verification, contact the Banker's office at +58 (212) 555-0147 or r.mendoza@bancocaribe.com.ve. Document reference: INV-VC-2025-003847 | Venezuela Caracas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Venezuela Caracas</dc:title>
  <dc:creator/>
  <dc:language>en</dc:language>
  <cp:keywords/>
  <dcterms:created xsi:type="dcterms:W3CDTF">2026-10-10T10:01:27Z</dcterms:created>
  <dcterms:modified xsi:type="dcterms:W3CDTF">2026-10-10T10:01:27Z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