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premier-banker-group"/>
    <w:p>
      <w:pPr>
        <w:pStyle w:val="Heading1"/>
      </w:pPr>
      <w:r>
        <w:t xml:space="preserve">Saigon Premier Banker Group</w:t>
      </w:r>
    </w:p>
    <w:p>
      <w:pPr>
        <w:pStyle w:val="FirstParagraph"/>
      </w:pPr>
      <w:r>
        <w:t xml:space="preserve">25 Nguyen Hue Boulevard, District 1</w:t>
      </w:r>
    </w:p>
    <w:p>
      <w:pPr>
        <w:pStyle w:val="BodyText"/>
      </w:pPr>
      <w:r>
        <w:t xml:space="preserve">Vietnam Ho Chi Minh City, 700000</w:t>
      </w:r>
    </w:p>
    <w:p>
      <w:pPr>
        <w:pStyle w:val="BodyText"/>
      </w:pPr>
      <w:r>
        <w:t xml:space="preserve">Tax Code (MST): 0312345678</w:t>
      </w:r>
    </w:p>
    <w:p>
      <w:pPr>
        <w:pStyle w:val="BodyText"/>
      </w:pPr>
      <w:r>
        <w:t xml:space="preserve">Phone: +84 28 3822 1234</w:t>
      </w:r>
    </w:p>
    <w:p>
      <w:pPr>
        <w:pStyle w:val="BodyText"/>
      </w:pPr>
      <w:r>
        <w:t xml:space="preserve">Email: billing@saigonpremierbanker.vn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SPB-2025-04782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Mekong Delta Trading Co., Ltd.</w:t>
      </w:r>
    </w:p>
    <w:p>
      <w:pPr>
        <w:pStyle w:val="BodyText"/>
      </w:pPr>
      <w:r>
        <w:rPr>
          <w:bCs/>
          <w:b/>
        </w:rPr>
        <w:t xml:space="preserve">Address:</w:t>
      </w:r>
      <w:r>
        <w:t xml:space="preserve"> </w:t>
      </w:r>
      <w:r>
        <w:t xml:space="preserve">180 Le Duan Street, District 3</w:t>
      </w:r>
    </w:p>
    <w:p>
      <w:pPr>
        <w:pStyle w:val="BodyText"/>
      </w:pPr>
      <w:r>
        <w:t xml:space="preserve">Vietnam Ho Chi Minh City, 700000</w:t>
      </w:r>
    </w:p>
    <w:p>
      <w:pPr>
        <w:pStyle w:val="BodyText"/>
      </w:pPr>
      <w:r>
        <w:rPr>
          <w:bCs/>
          <w:b/>
        </w:rPr>
        <w:t xml:space="preserve">Tax Code:</w:t>
      </w:r>
      <w:r>
        <w:t xml:space="preserve"> </w:t>
      </w:r>
      <w:r>
        <w:t xml:space="preserve">0398765432</w:t>
      </w:r>
    </w:p>
    <w:p>
      <w:pPr>
        <w:pStyle w:val="BodyText"/>
      </w:pPr>
      <w:r>
        <w:rPr>
          <w:bCs/>
          <w:b/>
        </w:rPr>
        <w:t xml:space="preserve">Contact:</w:t>
      </w:r>
      <w:r>
        <w:t xml:space="preserve"> </w:t>
      </w:r>
      <w:r>
        <w:t xml:space="preserve">Mr. Tran Van Minh</w:t>
      </w:r>
    </w:p>
    <w:p>
      <w:pPr>
        <w:pStyle w:val="BodyText"/>
      </w:pPr>
      <w:r>
        <w:rPr>
          <w:bCs/>
          <w:b/>
        </w:rPr>
        <w:t xml:space="preserve">Email:</w:t>
      </w:r>
      <w:r>
        <w:t xml:space="preserve"> </w:t>
      </w:r>
      <w:r>
        <w:t xml:space="preserve">finance@mekongdelta.vn</w:t>
      </w:r>
    </w:p>
    <w:bookmarkEnd w:id="22"/>
    <w:bookmarkStart w:id="23" w:name="banker-service-provider"/>
    <w:p>
      <w:pPr>
        <w:pStyle w:val="Heading3"/>
      </w:pPr>
      <w:r>
        <w:t xml:space="preserve">Banker / Service Provider</w:t>
      </w:r>
    </w:p>
    <w:p>
      <w:pPr>
        <w:pStyle w:val="FirstParagraph"/>
      </w:pPr>
      <w:r>
        <w:rPr>
          <w:bCs/>
          <w:b/>
        </w:rPr>
        <w:t xml:space="preserve">Lead Banker:</w:t>
      </w:r>
      <w:r>
        <w:t xml:space="preserve"> </w:t>
      </w:r>
      <w:r>
        <w:t xml:space="preserve">Ms. Nguyen Thi Lan</w:t>
      </w:r>
    </w:p>
    <w:p>
      <w:pPr>
        <w:pStyle w:val="BodyText"/>
      </w:pPr>
      <w:r>
        <w:rPr>
          <w:bCs/>
          <w:b/>
        </w:rPr>
        <w:t xml:space="preserve">Title:</w:t>
      </w:r>
      <w:r>
        <w:t xml:space="preserve"> </w:t>
      </w:r>
      <w:r>
        <w:t xml:space="preserve">Senior Corporate Banker</w:t>
      </w:r>
    </w:p>
    <w:p>
      <w:pPr>
        <w:pStyle w:val="BodyText"/>
      </w:pPr>
      <w:r>
        <w:rPr>
          <w:bCs/>
          <w:b/>
        </w:rPr>
        <w:t xml:space="preserve">Department:</w:t>
      </w:r>
      <w:r>
        <w:t xml:space="preserve"> </w:t>
      </w:r>
      <w:r>
        <w:t xml:space="preserve">Corporate Advisory Division</w:t>
      </w:r>
    </w:p>
    <w:p>
      <w:pPr>
        <w:pStyle w:val="BodyText"/>
      </w:pPr>
      <w:r>
        <w:rPr>
          <w:bCs/>
          <w:b/>
        </w:rPr>
        <w:t xml:space="preserve">License No.:</w:t>
      </w:r>
      <w:r>
        <w:t xml:space="preserve"> </w:t>
      </w:r>
      <w:r>
        <w:t xml:space="preserve">BKR-VNM-2019-4471</w:t>
      </w:r>
    </w:p>
    <w:p>
      <w:pPr>
        <w:pStyle w:val="BodyText"/>
      </w:pPr>
      <w:r>
        <w:rPr>
          <w:bCs/>
          <w:b/>
        </w:rPr>
        <w:t xml:space="preserve">Office:</w:t>
      </w:r>
      <w:r>
        <w:t xml:space="preserve"> </w:t>
      </w:r>
      <w:r>
        <w:t xml:space="preserve">Saigon Premier Banker Group, District 1</w:t>
      </w:r>
    </w:p>
    <w:p>
      <w:pPr>
        <w:pStyle w:val="BodyText"/>
      </w:pPr>
      <w:r>
        <w:t xml:space="preserve">Vietnam Ho Chi Minh City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Corporate banking advisory session conducted by the assigned Banker at the client's office in Vietnam Ho Chi Minh City. The Banker reviewed the company's current credit facilities, assessed liquidity positions, and provided strategic recommendations for optimizing working capital management across all operational branches.</w:t>
            </w:r>
          </w:p>
        </w:tc>
        <w:tc>
          <w:tcPr/>
          <w:p>
            <w:pPr>
              <w:pStyle w:val="Compact"/>
              <w:jc w:val="left"/>
            </w:pPr>
            <w:r>
              <w:t xml:space="preserve">May 05, 2025</w:t>
            </w:r>
          </w:p>
        </w:tc>
        <w:tc>
          <w:tcPr/>
          <w:p>
            <w:pPr>
              <w:pStyle w:val="Compact"/>
              <w:jc w:val="left"/>
            </w:pPr>
            <w:r>
              <w:t xml:space="preserve">4 hours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Trade finance structuring and documentation review performed by the Banker team. This included the preparation of a comprehensive letter of credit facility, export credit insurance evaluation, and foreign exchange hedging strategy tailored to the client's cross-border transactions with partners in Southeast Asia and Europe.</w:t>
            </w:r>
          </w:p>
        </w:tc>
        <w:tc>
          <w:tcPr/>
          <w:p>
            <w:pPr>
              <w:pStyle w:val="Compact"/>
              <w:jc w:val="left"/>
            </w:pPr>
            <w:r>
              <w:t xml:space="preserve">May 12, 2025</w:t>
            </w:r>
          </w:p>
        </w:tc>
        <w:tc>
          <w:tcPr/>
          <w:p>
            <w:pPr>
              <w:pStyle w:val="Compact"/>
              <w:jc w:val="left"/>
            </w:pPr>
            <w:r>
              <w:t xml:space="preserve">6 hours</w:t>
            </w:r>
          </w:p>
        </w:tc>
        <w:tc>
          <w:tcPr/>
          <w:p>
            <w:pPr>
              <w:pStyle w:val="Compact"/>
              <w:jc w:val="left"/>
            </w:pPr>
            <w:r>
              <w:t xml:space="preserve">2,500,000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Quarterly portfolio performance review and investment banking consultation. The Banker presented detailed analysis of the client's fixed-income holdings, equity exposure, and alternative investment opportunities available in the Vietnam Ho Chi Minh City financial markets. A revised asset allocation plan was delivered as part of this engagement.</w:t>
            </w:r>
          </w:p>
        </w:tc>
        <w:tc>
          <w:tcPr/>
          <w:p>
            <w:pPr>
              <w:pStyle w:val="Compact"/>
              <w:jc w:val="left"/>
            </w:pPr>
            <w:r>
              <w:t xml:space="preserve">May 19, 2025</w:t>
            </w:r>
          </w:p>
        </w:tc>
        <w:tc>
          <w:tcPr/>
          <w:p>
            <w:pPr>
              <w:pStyle w:val="Compact"/>
              <w:jc w:val="left"/>
            </w:pPr>
            <w:r>
              <w:t xml:space="preserve">3 hours</w:t>
            </w:r>
          </w:p>
        </w:tc>
        <w:tc>
          <w:tcPr/>
          <w:p>
            <w:pPr>
              <w:pStyle w:val="Compact"/>
              <w:jc w:val="left"/>
            </w:pPr>
            <w:r>
              <w:t xml:space="preserve">3,000,000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Regulatory compliance audit support and banking relationship restructuring. The Banker coordinated with the State Bank of Vietnam regulatory division to ensure all corporate accounts, interbank settlements, and cross-border payment channels maintained full compliance with the latest circulars issued in 2025.</w:t>
            </w:r>
          </w:p>
        </w:tc>
        <w:tc>
          <w:tcPr/>
          <w:p>
            <w:pPr>
              <w:pStyle w:val="Compact"/>
              <w:jc w:val="left"/>
            </w:pPr>
            <w:r>
              <w:t xml:space="preserve">May 23, 2025</w:t>
            </w:r>
          </w:p>
        </w:tc>
        <w:tc>
          <w:tcPr/>
          <w:p>
            <w:pPr>
              <w:pStyle w:val="Compact"/>
              <w:jc w:val="left"/>
            </w:pPr>
            <w:r>
              <w:t xml:space="preserve">5 hours</w:t>
            </w:r>
          </w:p>
        </w:tc>
        <w:tc>
          <w:tcPr/>
          <w:p>
            <w:pPr>
              <w:pStyle w:val="Compact"/>
              <w:jc w:val="left"/>
            </w:pPr>
            <w:r>
              <w:t xml:space="preserve">2,800,000</w:t>
            </w:r>
          </w:p>
        </w:tc>
        <w:tc>
          <w:tcPr/>
          <w:p>
            <w:pPr>
              <w:pStyle w:val="Compact"/>
              <w:jc w:val="left"/>
            </w:pPr>
            <w:r>
              <w:t xml:space="preserve">14,000,000</w:t>
            </w:r>
          </w:p>
        </w:tc>
      </w:tr>
      <w:tr>
        <w:tc>
          <w:tcPr/>
          <w:p>
            <w:pPr>
              <w:pStyle w:val="Compact"/>
              <w:jc w:val="left"/>
            </w:pPr>
            <w:r>
              <w:t xml:space="preserve">5</w:t>
            </w:r>
          </w:p>
        </w:tc>
        <w:tc>
          <w:tcPr/>
          <w:p>
            <w:pPr>
              <w:pStyle w:val="Compact"/>
              <w:jc w:val="left"/>
            </w:pPr>
            <w:r>
              <w:t xml:space="preserve">End-of-month banking operations summary report and digital banking platform migration assistance. The Banker oversaw the transition of the client's treasury operations to the new integrated digital banking system, including staff training sessions held at the Saigon Premier Banker Group headquarters in Vietnam Ho Chi Minh City.</w:t>
            </w:r>
          </w:p>
        </w:tc>
        <w:tc>
          <w:tcPr/>
          <w:p>
            <w:pPr>
              <w:pStyle w:val="Compact"/>
              <w:jc w:val="left"/>
            </w:pPr>
            <w:r>
              <w:t xml:space="preserve">May 30, 2025</w:t>
            </w:r>
          </w:p>
        </w:tc>
        <w:tc>
          <w:tcPr/>
          <w:p>
            <w:pPr>
              <w:pStyle w:val="Compact"/>
              <w:jc w:val="left"/>
            </w:pPr>
            <w:r>
              <w:t xml:space="preserve">8 hours</w:t>
            </w:r>
          </w:p>
        </w:tc>
        <w:tc>
          <w:tcPr/>
          <w:p>
            <w:pPr>
              <w:pStyle w:val="Compact"/>
              <w:jc w:val="left"/>
            </w:pPr>
            <w:r>
              <w:t xml:space="preserve">2,200,000</w:t>
            </w:r>
          </w:p>
        </w:tc>
        <w:tc>
          <w:tcPr/>
          <w:p>
            <w:pPr>
              <w:pStyle w:val="Compact"/>
              <w:jc w:val="left"/>
            </w:pPr>
            <w:r>
              <w:t xml:space="preserve">17,600,000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65,600,000 VND</w:t>
            </w:r>
          </w:p>
        </w:tc>
      </w:tr>
      <w:tr>
        <w:tc>
          <w:tcPr/>
          <w:p>
            <w:pPr>
              <w:pStyle w:val="Compact"/>
              <w:jc w:val="left"/>
            </w:pPr>
            <w:r>
              <w:t xml:space="preserve">VAT (10%)</w:t>
            </w:r>
          </w:p>
        </w:tc>
        <w:tc>
          <w:tcPr/>
          <w:p>
            <w:pPr>
              <w:pStyle w:val="Compact"/>
              <w:jc w:val="left"/>
            </w:pPr>
            <w:r>
              <w:t xml:space="preserve">6,560,000 VND</w:t>
            </w:r>
          </w:p>
        </w:tc>
      </w:tr>
      <w:tr>
        <w:tc>
          <w:tcPr/>
          <w:p>
            <w:pPr>
              <w:pStyle w:val="Compact"/>
              <w:jc w:val="left"/>
            </w:pPr>
            <w:r>
              <w:t xml:space="preserve">Banker Service Surcharge (2%)</w:t>
            </w:r>
          </w:p>
        </w:tc>
        <w:tc>
          <w:tcPr/>
          <w:p>
            <w:pPr>
              <w:pStyle w:val="Compact"/>
              <w:jc w:val="left"/>
            </w:pPr>
            <w:r>
              <w:t xml:space="preserve">1,312,000 VND</w:t>
            </w:r>
          </w:p>
        </w:tc>
      </w:tr>
      <w:tr>
        <w:tc>
          <w:tcPr/>
          <w:p>
            <w:pPr>
              <w:pStyle w:val="Compact"/>
              <w:jc w:val="left"/>
            </w:pPr>
            <w:r>
              <w:t xml:space="preserve">Grand Total</w:t>
            </w:r>
          </w:p>
        </w:tc>
        <w:tc>
          <w:tcPr/>
          <w:p>
            <w:pPr>
              <w:pStyle w:val="Compact"/>
              <w:jc w:val="left"/>
            </w:pPr>
            <w:r>
              <w:t xml:space="preserve">73,472,000 VND</w:t>
            </w:r>
          </w:p>
        </w:tc>
      </w:tr>
    </w:tbl>
    <w:bookmarkStart w:id="24" w:name="invoice-notes-payment-instructions"/>
    <w:p>
      <w:pPr>
        <w:pStyle w:val="Heading3"/>
      </w:pPr>
      <w:r>
        <w:t xml:space="preserve">Invoice Notes &amp; Payment Instructions</w:t>
      </w:r>
    </w:p>
    <w:p>
      <w:pPr>
        <w:pStyle w:val="FirstParagraph"/>
      </w:pPr>
      <w:r>
        <w:t xml:space="preserve">This Invoice is issued by Saigon Premier Banker Group, a licensed corporate banking advisory firm operating in Vietnam Ho Chi Minh City. All services rendered by the assigned Banker and supporting team members are subject to the Master Service Agreement dated January 10, 2025, between the two parties.</w:t>
      </w:r>
    </w:p>
    <w:p>
      <w:pPr>
        <w:pStyle w:val="BodyText"/>
      </w:pPr>
      <w:r>
        <w:rPr>
          <w:bCs/>
          <w:b/>
        </w:rPr>
        <w:t xml:space="preserve">Payment Method:</w:t>
      </w:r>
      <w:r>
        <w:t xml:space="preserve"> </w:t>
      </w:r>
      <w:r>
        <w:t xml:space="preserve">Bank transfer to the following account:</w:t>
      </w:r>
    </w:p>
    <w:p>
      <w:pPr>
        <w:pStyle w:val="BodyText"/>
      </w:pPr>
      <w:r>
        <w:t xml:space="preserve">Bank: Joint Stock Commercial Bank for Industry and Trade (VietinBank), Vietnam Ho Chi Minh City Branch</w:t>
      </w:r>
    </w:p>
    <w:p>
      <w:pPr>
        <w:pStyle w:val="BodyText"/>
      </w:pPr>
      <w:r>
        <w:t xml:space="preserve">Account Name: Saigon Premier Banker Group Co., Ltd.</w:t>
      </w:r>
    </w:p>
    <w:p>
      <w:pPr>
        <w:pStyle w:val="BodyText"/>
      </w:pPr>
      <w:r>
        <w:t xml:space="preserve">Account Number: 1020 0000 1234 56</w:t>
      </w:r>
    </w:p>
    <w:p>
      <w:pPr>
        <w:pStyle w:val="BodyText"/>
      </w:pPr>
      <w:r>
        <w:t xml:space="preserve">SWIFT Code: ICTVVNVX</w:t>
      </w:r>
    </w:p>
    <w:p>
      <w:pPr>
        <w:pStyle w:val="BodyText"/>
      </w:pPr>
      <w:r>
        <w:t xml:space="preserve">Please reference Invoice number SPB-2025-04782 in the transfer memo. Payment is due within thirty (30) calendar days from the Invoice date. Late payments will incur a penalty of 0.05% per day as stipulated in the service contract.</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professional banking services delivered by the designated Banker and the Saigon Premier Banker Group team during the service period specified above.</w:t>
      </w:r>
    </w:p>
    <w:p>
      <w:pPr>
        <w:numPr>
          <w:ilvl w:val="0"/>
          <w:numId w:val="1001"/>
        </w:numPr>
        <w:pStyle w:val="Compact"/>
      </w:pPr>
      <w:r>
        <w:t xml:space="preserve">All services were performed in accordance with the professional standards of the banking industry in Vietnam Ho Chi Minh City and comply with regulations set forth by the State Bank of Vietnam.</w:t>
      </w:r>
    </w:p>
    <w:p>
      <w:pPr>
        <w:numPr>
          <w:ilvl w:val="0"/>
          <w:numId w:val="1001"/>
        </w:numPr>
        <w:pStyle w:val="Compact"/>
      </w:pPr>
      <w:r>
        <w:t xml:space="preserve">The Banker's professional judgment, advisory opinions, and strategic recommendations provided under this Invoice are confidential and intended solely for the named client. Unauthorized disclosure is prohibited under Vietnamese commercial law.</w:t>
      </w:r>
    </w:p>
    <w:p>
      <w:pPr>
        <w:numPr>
          <w:ilvl w:val="0"/>
          <w:numId w:val="1001"/>
        </w:numPr>
        <w:pStyle w:val="Compact"/>
      </w:pPr>
      <w:r>
        <w:t xml:space="preserve">Any disputes arising from this Invoice or the underlying services shall be resolved through arbitration at the Vietnam International Arbitration Centre (VIAC) in Vietnam Ho Chi Minh City, in accordance with its rules of procedure.</w:t>
      </w:r>
    </w:p>
    <w:p>
      <w:pPr>
        <w:numPr>
          <w:ilvl w:val="0"/>
          <w:numId w:val="1001"/>
        </w:numPr>
        <w:pStyle w:val="Compact"/>
      </w:pPr>
      <w:r>
        <w:t xml:space="preserve">This Invoice is valid for one hundred and eighty (180) days from the date of issue. After this period, the Invoice must be reissued by the Banker's administrative office.</w:t>
      </w:r>
    </w:p>
    <w:p>
      <w:pPr>
        <w:numPr>
          <w:ilvl w:val="0"/>
          <w:numId w:val="1001"/>
        </w:numPr>
        <w:pStyle w:val="Compact"/>
      </w:pPr>
      <w:r>
        <w:t xml:space="preserve">Receipt of this Invoice does not constitute acceptance of the services. Formal acceptance is confirmed upon full settlement of the Grand Total amount stated herein.</w:t>
      </w:r>
    </w:p>
    <w:bookmarkEnd w:id="25"/>
    <w:p>
      <w:pPr>
        <w:pStyle w:val="FirstParagraph"/>
      </w:pPr>
      <w:r>
        <w:t xml:space="preserve">Thank you for choosing Saigon Premier Banker Group for your corporate banking needs in Vietnam Ho Chi Minh City.</w:t>
      </w:r>
    </w:p>
    <w:p>
      <w:pPr>
        <w:pStyle w:val="BodyText"/>
      </w:pPr>
      <w:r>
        <w:t xml:space="preserve">This Invoice was generated electronically and is valid without a physical signature. For verification, please contact our billing department at +84 28 3822 1234.</w:t>
      </w:r>
    </w:p>
    <w:p>
      <w:pPr>
        <w:pStyle w:val="BodyText"/>
      </w:pPr>
      <w:r>
        <w:t xml:space="preserve">© 2025 Saigon Premier Banker Group Co., Ltd. | Vietnam Ho Chi Minh City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Vietnam Ho Chi Minh City</dc:title>
  <dc:creator/>
  <dc:language>en</dc:language>
  <cp:keywords/>
  <dcterms:created xsi:type="dcterms:W3CDTF">2026-10-10T08:47:22Z</dcterms:created>
  <dcterms:modified xsi:type="dcterms:W3CDTF">2026-10-10T08:47:22Z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