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invoice"/>
    <w:p>
      <w:pPr>
        <w:pStyle w:val="Heading1"/>
      </w:pPr>
      <w:r>
        <w:t xml:space="preserve">INVOICE</w:t>
      </w:r>
    </w:p>
    <w:p>
      <w:pPr>
        <w:pStyle w:val="FirstParagraph"/>
      </w:pPr>
      <w:r>
        <w:t xml:space="preserve">Professional Biological Consulting &amp; Research Services</w:t>
      </w:r>
    </w:p>
    <w:p>
      <w:pPr>
        <w:pStyle w:val="BodyText"/>
      </w:pPr>
      <w:r>
        <w:t xml:space="preserve">Berlin, Germany</w:t>
      </w:r>
    </w:p>
    <w:bookmarkEnd w:id="20"/>
    <w:p>
      <w:pPr>
        <w:pStyle w:val="BodyText"/>
      </w:pPr>
      <w:r>
        <w:rPr>
          <w:bCs/>
          <w:b/>
        </w:rPr>
        <w:t xml:space="preserve">Invoice No.:</w:t>
      </w:r>
      <w:r>
        <w:t xml:space="preserve"> </w:t>
      </w:r>
      <w:r>
        <w:t xml:space="preserve">BIO-BER-2025-0472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Start w:id="21" w:name="biologist-service-provider"/>
    <w:p>
      <w:pPr>
        <w:pStyle w:val="Heading3"/>
      </w:pPr>
      <w:r>
        <w:t xml:space="preserve">Biologist / Service Provider</w:t>
      </w:r>
    </w:p>
    <w:p>
      <w:pPr>
        <w:pStyle w:val="FirstParagraph"/>
      </w:pPr>
      <w:r>
        <w:rPr>
          <w:bCs/>
          <w:b/>
        </w:rPr>
        <w:t xml:space="preserve">Dr. Katharina Vogel, M.Sc. (Biological Sciences)</w:t>
      </w:r>
    </w:p>
    <w:p>
      <w:pPr>
        <w:pStyle w:val="BodyText"/>
      </w:pPr>
      <w:r>
        <w:t xml:space="preserve">Independent Biologist &amp; Environmental Consultant</w:t>
      </w:r>
    </w:p>
    <w:p>
      <w:pPr>
        <w:pStyle w:val="BodyText"/>
      </w:pPr>
      <w:r>
        <w:t xml:space="preserve">Invalidenstraße 112, 10115 Berlin-Mitte</w:t>
      </w:r>
    </w:p>
    <w:p>
      <w:pPr>
        <w:pStyle w:val="BodyText"/>
      </w:pPr>
      <w:r>
        <w:t xml:space="preserve">Germany</w:t>
      </w:r>
    </w:p>
    <w:p>
      <w:pPr>
        <w:pStyle w:val="BodyText"/>
      </w:pPr>
      <w:r>
        <w:t xml:space="preserve">Phone: +49 30 4455 6677</w:t>
      </w:r>
    </w:p>
    <w:p>
      <w:pPr>
        <w:pStyle w:val="BodyText"/>
      </w:pPr>
      <w:r>
        <w:t xml:space="preserve">Email: k.vogel@biologist-berlin.de</w:t>
      </w:r>
    </w:p>
    <w:p>
      <w:pPr>
        <w:pStyle w:val="BodyText"/>
      </w:pPr>
      <w:r>
        <w:t xml:space="preserve">VAT ID (USt-IdNr.): DE 318 442 907</w:t>
      </w:r>
    </w:p>
    <w:p>
      <w:pPr>
        <w:pStyle w:val="BodyText"/>
      </w:pPr>
      <w:r>
        <w:t xml:space="preserve">Chamber of Commerce (Handelsregister): HRB 145 892, Amtsgericht Charlottenburg, Berlin</w:t>
      </w:r>
    </w:p>
    <w:bookmarkEnd w:id="21"/>
    <w:bookmarkStart w:id="22" w:name="client-bill-to"/>
    <w:p>
      <w:pPr>
        <w:pStyle w:val="Heading3"/>
      </w:pPr>
      <w:r>
        <w:t xml:space="preserve">Client / Bill To</w:t>
      </w:r>
    </w:p>
    <w:p>
      <w:pPr>
        <w:pStyle w:val="FirstParagraph"/>
      </w:pPr>
      <w:r>
        <w:rPr>
          <w:bCs/>
          <w:b/>
        </w:rPr>
        <w:t xml:space="preserve">GreenScape Urban Ecology GmbH</w:t>
      </w:r>
    </w:p>
    <w:p>
      <w:pPr>
        <w:pStyle w:val="BodyText"/>
      </w:pPr>
      <w:r>
        <w:t xml:space="preserve">Attn: Mr. Stefan Brandt, Project Director</w:t>
      </w:r>
    </w:p>
    <w:p>
      <w:pPr>
        <w:pStyle w:val="BodyText"/>
      </w:pPr>
      <w:r>
        <w:t xml:space="preserve">Leipziger Straße 88, 10117 Berlin-Mitte</w:t>
      </w:r>
    </w:p>
    <w:p>
      <w:pPr>
        <w:pStyle w:val="BodyText"/>
      </w:pPr>
      <w:r>
        <w:t xml:space="preserve">Germany</w:t>
      </w:r>
    </w:p>
    <w:p>
      <w:pPr>
        <w:pStyle w:val="BodyText"/>
      </w:pPr>
      <w:r>
        <w:t xml:space="preserve">Phone: +49 30 8899 2211</w:t>
      </w:r>
    </w:p>
    <w:p>
      <w:pPr>
        <w:pStyle w:val="BodyText"/>
      </w:pPr>
      <w:r>
        <w:t xml:space="preserve">Email: s.brandt@greenscape-berlin.de</w:t>
      </w:r>
    </w:p>
    <w:p>
      <w:pPr>
        <w:pStyle w:val="BodyText"/>
      </w:pPr>
      <w:r>
        <w:t xml:space="preserve">VAT ID (USt-IdNr.): DE 297 661 334</w:t>
      </w:r>
    </w:p>
    <w:bookmarkEnd w:id="22"/>
    <w:bookmarkStart w:id="25" w:name="Xfd5f2c4003947470ee8e7d89a56047b70079860"/>
    <w:p>
      <w:pPr>
        <w:pStyle w:val="Heading3"/>
      </w:pPr>
      <w:r>
        <w:t xml:space="preserve">Description of Biological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Ecological field survey and biodiversity assessment of the Spree River corridor in Berlin-Kreuzberg. Includes species identification, habitat mapping, and population density analysis conducted over three full working days in May 2025.</w:t>
            </w:r>
          </w:p>
        </w:tc>
        <w:tc>
          <w:tcPr/>
          <w:p>
            <w:pPr>
              <w:pStyle w:val="Compact"/>
              <w:jc w:val="left"/>
            </w:pPr>
            <w:r>
              <w:t xml:space="preserve">3 days</w:t>
            </w:r>
          </w:p>
        </w:tc>
        <w:tc>
          <w:tcPr/>
          <w:p>
            <w:pPr>
              <w:pStyle w:val="Compact"/>
              <w:jc w:val="left"/>
            </w:pPr>
            <w:r>
              <w:t xml:space="preserve">€ 650.00</w:t>
            </w:r>
          </w:p>
        </w:tc>
        <w:tc>
          <w:tcPr/>
          <w:p>
            <w:pPr>
              <w:pStyle w:val="Compact"/>
              <w:jc w:val="left"/>
            </w:pPr>
            <w:r>
              <w:t xml:space="preserve">€ 1,950.00</w:t>
            </w:r>
          </w:p>
        </w:tc>
      </w:tr>
      <w:tr>
        <w:tc>
          <w:tcPr/>
          <w:p>
            <w:pPr>
              <w:pStyle w:val="Compact"/>
              <w:jc w:val="left"/>
            </w:pPr>
            <w:r>
              <w:t xml:space="preserve">02</w:t>
            </w:r>
          </w:p>
        </w:tc>
        <w:tc>
          <w:tcPr/>
          <w:p>
            <w:pPr>
              <w:pStyle w:val="Compact"/>
              <w:jc w:val="left"/>
            </w:pPr>
            <w:r>
              <w:t xml:space="preserve">Laboratory analysis of soil and water samples collected during the field survey. Microbiological testing, heavy metal quantification, and nutrient profiling performed at the accredited laboratory in Berlin-Charlottenburg in accordance with DIN EN ISO 17025 standards.</w:t>
            </w:r>
          </w:p>
        </w:tc>
        <w:tc>
          <w:tcPr/>
          <w:p>
            <w:pPr>
              <w:pStyle w:val="Compact"/>
              <w:jc w:val="left"/>
            </w:pPr>
            <w:r>
              <w:t xml:space="preserve">12 samples</w:t>
            </w:r>
          </w:p>
        </w:tc>
        <w:tc>
          <w:tcPr/>
          <w:p>
            <w:pPr>
              <w:pStyle w:val="Compact"/>
              <w:jc w:val="left"/>
            </w:pPr>
            <w:r>
              <w:t xml:space="preserve">€ 185.00</w:t>
            </w:r>
          </w:p>
        </w:tc>
        <w:tc>
          <w:tcPr/>
          <w:p>
            <w:pPr>
              <w:pStyle w:val="Compact"/>
              <w:jc w:val="left"/>
            </w:pPr>
            <w:r>
              <w:t xml:space="preserve">€ 2,220.00</w:t>
            </w:r>
          </w:p>
        </w:tc>
      </w:tr>
      <w:tr>
        <w:tc>
          <w:tcPr/>
          <w:p>
            <w:pPr>
              <w:pStyle w:val="Compact"/>
              <w:jc w:val="left"/>
            </w:pPr>
            <w:r>
              <w:t xml:space="preserve">03</w:t>
            </w:r>
          </w:p>
        </w:tc>
        <w:tc>
          <w:tcPr/>
          <w:p>
            <w:pPr>
              <w:pStyle w:val="Compact"/>
              <w:jc w:val="left"/>
            </w:pPr>
            <w:r>
              <w:t xml:space="preserve">Preparation of a comprehensive biological impact assessment report for the proposed urban green corridor development project. The report addresses flora and fauna conservation requirements under the German Federal Nature Conservation Act (Bundesnaturschutzgesetz, BNatSchG) and relevant Berlin state regulations.</w:t>
            </w:r>
          </w:p>
        </w:tc>
        <w:tc>
          <w:tcPr/>
          <w:p>
            <w:pPr>
              <w:pStyle w:val="Compact"/>
              <w:jc w:val="left"/>
            </w:pPr>
            <w:r>
              <w:t xml:space="preserve">1 report</w:t>
            </w:r>
          </w:p>
        </w:tc>
        <w:tc>
          <w:tcPr/>
          <w:p>
            <w:pPr>
              <w:pStyle w:val="Compact"/>
              <w:jc w:val="left"/>
            </w:pPr>
            <w:r>
              <w:t xml:space="preserve">€ 3,400.00</w:t>
            </w:r>
          </w:p>
        </w:tc>
        <w:tc>
          <w:tcPr/>
          <w:p>
            <w:pPr>
              <w:pStyle w:val="Compact"/>
              <w:jc w:val="left"/>
            </w:pPr>
            <w:r>
              <w:t xml:space="preserve">€ 3,400.00</w:t>
            </w:r>
          </w:p>
        </w:tc>
      </w:tr>
      <w:tr>
        <w:tc>
          <w:tcPr/>
          <w:p>
            <w:pPr>
              <w:pStyle w:val="Compact"/>
              <w:jc w:val="left"/>
            </w:pPr>
            <w:r>
              <w:t xml:space="preserve">04</w:t>
            </w:r>
          </w:p>
        </w:tc>
        <w:tc>
          <w:tcPr/>
          <w:p>
            <w:pPr>
              <w:pStyle w:val="Compact"/>
              <w:jc w:val="left"/>
            </w:pPr>
            <w:r>
              <w:t xml:space="preserve">On-site consultation and expert testimony session with the client's project team and the Berlin Senate Department for Environment, Climate Protection, Energy and Consumer Protection (Senatsverwaltung für Umwelt, Klimaschutz, Energie und Verbraucherschutz). Includes presentation of findings and Q&amp;A.</w:t>
            </w:r>
          </w:p>
        </w:tc>
        <w:tc>
          <w:tcPr/>
          <w:p>
            <w:pPr>
              <w:pStyle w:val="Compact"/>
              <w:jc w:val="left"/>
            </w:pPr>
            <w:r>
              <w:t xml:space="preserve">1 session (4 hrs)</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05</w:t>
            </w:r>
          </w:p>
        </w:tc>
        <w:tc>
          <w:tcPr/>
          <w:p>
            <w:pPr>
              <w:pStyle w:val="Compact"/>
              <w:jc w:val="left"/>
            </w:pPr>
            <w:r>
              <w:t xml:space="preserve">Follow-up monitoring plan development and six-month post-implementation ecological monitoring schedule. Includes quarterly site visits, data collection protocols, and progress reporting framework for the biologist to oversee habitat restoration outcomes.</w:t>
            </w:r>
          </w:p>
        </w:tc>
        <w:tc>
          <w:tcPr/>
          <w:p>
            <w:pPr>
              <w:pStyle w:val="Compact"/>
              <w:jc w:val="left"/>
            </w:pPr>
            <w:r>
              <w:t xml:space="preserve">1 plan</w:t>
            </w:r>
          </w:p>
        </w:tc>
        <w:tc>
          <w:tcPr/>
          <w:p>
            <w:pPr>
              <w:pStyle w:val="Compact"/>
              <w:jc w:val="left"/>
            </w:pPr>
            <w:r>
              <w:t xml:space="preserve">€ 1,850.00</w:t>
            </w:r>
          </w:p>
        </w:tc>
        <w:tc>
          <w:tcPr/>
          <w:p>
            <w:pPr>
              <w:pStyle w:val="Compact"/>
              <w:jc w:val="left"/>
            </w:pPr>
            <w:r>
              <w:t xml:space="preserve">€ 1,850.00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€ 9,940.00</w:t>
            </w:r>
          </w:p>
        </w:tc>
      </w:tr>
      <w:tr>
        <w:tc>
          <w:tcPr/>
          <w:p>
            <w:pPr>
              <w:pStyle w:val="Compact"/>
              <w:jc w:val="left"/>
            </w:pPr>
            <w:r>
              <w:t xml:space="preserve">VAT (Mehrwertsteuer) 19%</w:t>
            </w:r>
          </w:p>
        </w:tc>
        <w:tc>
          <w:tcPr/>
          <w:p>
            <w:pPr>
              <w:pStyle w:val="Compact"/>
              <w:jc w:val="right"/>
            </w:pPr>
            <w:r>
              <w:t xml:space="preserve">€ 1,888.60</w:t>
            </w:r>
          </w:p>
        </w:tc>
      </w:tr>
      <w:tr>
        <w:tc>
          <w:tcPr/>
          <w:p>
            <w:pPr>
              <w:pStyle w:val="Compact"/>
              <w:jc w:val="left"/>
            </w:pPr>
            <w:r>
              <w:t xml:space="preserve">Grand Total (Brutto)</w:t>
            </w:r>
          </w:p>
        </w:tc>
        <w:tc>
          <w:tcPr/>
          <w:p>
            <w:pPr>
              <w:pStyle w:val="Compact"/>
              <w:jc w:val="right"/>
            </w:pPr>
            <w:r>
              <w:t xml:space="preserve">€ 11,828.60</w:t>
            </w:r>
          </w:p>
        </w:tc>
      </w:tr>
    </w:tbl>
    <w:bookmarkStart w:id="23" w:name="payment-instructions-bank-details"/>
    <w:p>
      <w:pPr>
        <w:pStyle w:val="Heading4"/>
      </w:pPr>
      <w:r>
        <w:t xml:space="preserve">Payment Instructions – Bank Details</w:t>
      </w:r>
    </w:p>
    <w:p>
      <w:pPr>
        <w:pStyle w:val="FirstParagraph"/>
      </w:pPr>
      <w:r>
        <w:rPr>
          <w:bCs/>
          <w:b/>
        </w:rPr>
        <w:t xml:space="preserve">Bank:</w:t>
      </w:r>
      <w:r>
        <w:t xml:space="preserve"> </w:t>
      </w:r>
      <w:r>
        <w:t xml:space="preserve">Deutsche Kreditbank AG (DKB)</w:t>
      </w:r>
    </w:p>
    <w:p>
      <w:pPr>
        <w:pStyle w:val="BodyText"/>
      </w:pPr>
      <w:r>
        <w:rPr>
          <w:bCs/>
          <w:b/>
        </w:rPr>
        <w:t xml:space="preserve">IBAN:</w:t>
      </w:r>
      <w:r>
        <w:t xml:space="preserve"> </w:t>
      </w:r>
      <w:r>
        <w:t xml:space="preserve">DE89 1203 0000 0664 4477 88</w:t>
      </w:r>
    </w:p>
    <w:p>
      <w:pPr>
        <w:pStyle w:val="BodyText"/>
      </w:pPr>
      <w:r>
        <w:rPr>
          <w:bCs/>
          <w:b/>
        </w:rPr>
        <w:t xml:space="preserve">BIC / SWIFT:</w:t>
      </w:r>
      <w:r>
        <w:t xml:space="preserve"> </w:t>
      </w:r>
      <w:r>
        <w:t xml:space="preserve">BYLADEM1001</w:t>
      </w:r>
    </w:p>
    <w:p>
      <w:pPr>
        <w:pStyle w:val="BodyText"/>
      </w:pPr>
      <w:r>
        <w:rPr>
          <w:bCs/>
          <w:b/>
        </w:rPr>
        <w:t xml:space="preserve">Account Holder:</w:t>
      </w:r>
      <w:r>
        <w:t xml:space="preserve"> </w:t>
      </w:r>
      <w:r>
        <w:t xml:space="preserve">Dr. Katharina Vogel, Independent Biologist</w:t>
      </w:r>
    </w:p>
    <w:p>
      <w:pPr>
        <w:pStyle w:val="BodyText"/>
      </w:pPr>
      <w:r>
        <w:rPr>
          <w:bCs/>
          <w:b/>
        </w:rPr>
        <w:t xml:space="preserve">Reference (Verwendungszweck):</w:t>
      </w:r>
      <w:r>
        <w:t xml:space="preserve"> </w:t>
      </w:r>
      <w:r>
        <w:t xml:space="preserve">Invoice BIO-BER-2025-0472</w:t>
      </w:r>
    </w:p>
    <w:p>
      <w:pPr>
        <w:pStyle w:val="BodyText"/>
      </w:pPr>
      <w:r>
        <w:t xml:space="preserve">Please ensure the invoice number is included as a reference on your bank transfer. Payment is due within fourteen (14) calendar days of the invoice date. Late payments are subject to statutory interest at 8 percentage points above the European Central Bank base rate in accordance with § 288 of the German Civil Code (BGB).</w:t>
      </w:r>
    </w:p>
    <w:bookmarkEnd w:id="23"/>
    <w:bookmarkStart w:id="24" w:name="notes-additional-information"/>
    <w:p>
      <w:pPr>
        <w:pStyle w:val="Heading4"/>
      </w:pPr>
      <w:r>
        <w:t xml:space="preserve">Notes &amp; Additional Information</w:t>
      </w:r>
    </w:p>
    <w:p>
      <w:pPr>
        <w:pStyle w:val="FirstParagraph"/>
      </w:pPr>
      <w:r>
        <w:t xml:space="preserve">This invoice covers all biological consulting, field research, laboratory coordination, and reporting services rendered by Dr. Katharina Vogel as an independent biologist operating in Berlin, Germany, during the period of 3 May 2025 through 13 June 2025. All fieldwork was conducted in compliance with the Berlin State Nature Conservation Ordinance (Landesnaturschutzverordnung) and applicable federal environmental regulations. The biological impact assessment report referenced in item 03 has been delivered in both printed and digital (PDF) format to the client's project office at Leipziger Straße 88. All laboratory analyses were performed by a certified third-party facility; the biologist's role encompassed sample collection, chain-of-custody management, and interpretation of results within the broader ecological context of the Berlin urban landscape. The client acknowledges receipt of all deliverables and confirms that the scope of biological services described herein has been completed to professional satisfaction.</w:t>
      </w:r>
    </w:p>
    <w:bookmarkEnd w:id="24"/>
    <w:p>
      <w:pPr>
        <w:pStyle w:val="BodyText"/>
      </w:pPr>
      <w:r>
        <w:rPr>
          <w:bCs/>
          <w:b/>
        </w:rPr>
        <w:t xml:space="preserve">Legal Notice:</w:t>
      </w:r>
      <w:r>
        <w:t xml:space="preserve"> </w:t>
      </w:r>
      <w:r>
        <w:t xml:space="preserve">This invoice is issued in accordance with § 14 of the German Value Added Tax Act (Umsatzsteuergesetz, UStG) and the applicable provisions of the German Commercial Code (Handelsgesetzbuch, HGB). The place of performance (Erfüllungsort) for all services described in this invoice is Berlin, Germany. In the event of any dispute, the exclusive jurisdiction of the competent court in Berlin (Amtsgericht Berlin-Mitte or Landgericht Berlin, depending on the subject matter) shall apply, as stipulated in § 29 of the German Code of Civil Procedure (Zivilprozessordnung, ZPO). This invoice constitutes a legally binding document under German commercial law. The biologist reserves all rights regarding intellectual property contained within the biological assessment reports and monitoring plans delivered under this engagement. Reproduction or distribution of the biological data and findings without prior written consent of the service provider is prohibited under the German Copyright Act (Urheberrechtsgesetz, UrhG).</w:t>
      </w:r>
    </w:p>
    <w:p>
      <w:pPr>
        <w:pStyle w:val="BodyText"/>
      </w:pPr>
      <w:r>
        <w:t xml:space="preserve">This document was generated and issued in Berlin, Germany. For any queries regarding this invoice or the biological services rendered, please contact the undersigned biologist at the address or email provided above. We thank you for your business and look forward to continuing our professional collaboration on future ecological and biological projects in the Berlin region.</w:t>
      </w:r>
    </w:p>
    <w:p>
      <w:pPr>
        <w:pStyle w:val="BodyText"/>
      </w:pPr>
      <w:r>
        <w:t xml:space="preserve">Dr. Katharina Vogel, M.Sc. – Independent Biologist &amp; Environmental Consultant | Invalidenstraße 112, 10115 Berlin, Germany</w:t>
      </w:r>
    </w:p>
    <w:p>
      <w:pPr>
        <w:pStyle w:val="BodyText"/>
      </w:pPr>
      <w:r>
        <w:t xml:space="preserve">USt-IdNr.: DE 318 442 907 | Handelsregister: HRB 145 892, AG Charlottenburg | Member of the German Society for Ecology (Deutsche Gesellschaft für Ökologie, DGO)</w:t>
      </w:r>
    </w:p>
    <w:p>
      <w:pPr>
        <w:pStyle w:val="BodyText"/>
      </w:pPr>
      <w:r>
        <w:t xml:space="preserve">Invoice BIO-BER-2025-0472 | Issued: 14 June 2025 | Berlin,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Berlin, Germany</dc:title>
  <dc:creator/>
  <dc:language>en</dc:language>
  <cp:keywords/>
  <dcterms:created xsi:type="dcterms:W3CDTF">2026-10-10T10:20:12Z</dcterms:created>
  <dcterms:modified xsi:type="dcterms:W3CDTF">2026-10-10T10:20:12Z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