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invoice"/>
    <w:p>
      <w:pPr>
        <w:pStyle w:val="Heading1"/>
      </w:pPr>
      <w:r>
        <w:t xml:space="preserve">INVOICE</w:t>
      </w:r>
    </w:p>
    <w:p>
      <w:pPr>
        <w:pStyle w:val="FirstParagraph"/>
      </w:pPr>
      <w:r>
        <w:t xml:space="preserve">Professional Biologist Services — Germany Frankfurt</w:t>
      </w:r>
    </w:p>
    <w:bookmarkEnd w:id="20"/>
    <w:bookmarkStart w:id="21" w:name="dr.-elena-hartmann-ph.d."/>
    <w:p>
      <w:pPr>
        <w:pStyle w:val="Heading3"/>
      </w:pPr>
      <w:r>
        <w:t xml:space="preserve">Dr. Elena Hartmann, Ph.D.</w:t>
      </w:r>
    </w:p>
    <w:p>
      <w:pPr>
        <w:pStyle w:val="FirstParagraph"/>
      </w:pPr>
      <w:r>
        <w:t xml:space="preserve">Certified Biologist &amp; Environmental Consultant</w:t>
      </w:r>
    </w:p>
    <w:p>
      <w:pPr>
        <w:pStyle w:val="BodyText"/>
      </w:pPr>
      <w:r>
        <w:t xml:space="preserve">Frankfurter Biologie Institut GmbH</w:t>
      </w:r>
    </w:p>
    <w:p>
      <w:pPr>
        <w:pStyle w:val="BodyText"/>
      </w:pPr>
      <w:r>
        <w:t xml:space="preserve">Sachsenhausenallee 42, 60594 Frankfurt am Main</w:t>
      </w:r>
    </w:p>
    <w:p>
      <w:pPr>
        <w:pStyle w:val="BodyText"/>
      </w:pPr>
      <w:r>
        <w:t xml:space="preserve">Germany Frankfurt, Hesse</w:t>
      </w:r>
    </w:p>
    <w:p>
      <w:pPr>
        <w:pStyle w:val="BodyText"/>
      </w:pPr>
      <w:r>
        <w:t xml:space="preserve">Tel: +49 (0)69 555 0182</w:t>
      </w:r>
    </w:p>
    <w:p>
      <w:pPr>
        <w:pStyle w:val="BodyText"/>
      </w:pPr>
      <w:r>
        <w:t xml:space="preserve">Email: e.hartmann@frankfurt-biologie.de</w:t>
      </w:r>
    </w:p>
    <w:p>
      <w:pPr>
        <w:pStyle w:val="BodyText"/>
      </w:pPr>
      <w:r>
        <w:t xml:space="preserve">USt-IdNr.: DE 318 456 721</w:t>
      </w:r>
    </w:p>
    <w:bookmarkEnd w:id="21"/>
    <w:bookmarkStart w:id="22" w:name="invoice-details"/>
    <w:p>
      <w:pPr>
        <w:pStyle w:val="Heading4"/>
      </w:pPr>
      <w:r>
        <w:t xml:space="preserve">Invoice Details</w:t>
      </w:r>
    </w:p>
    <w:p>
      <w:pPr>
        <w:pStyle w:val="FirstParagraph"/>
      </w:pPr>
      <w:r>
        <w:rPr>
          <w:bCs/>
          <w:b/>
        </w:rPr>
        <w:t xml:space="preserve">Invoice No.:</w:t>
      </w:r>
      <w:r>
        <w:t xml:space="preserve"> </w:t>
      </w:r>
      <w:r>
        <w:t xml:space="preserve">FB-2025-0417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bookmarkEnd w:id="22"/>
    <w:bookmarkStart w:id="23" w:name="billed-to-client"/>
    <w:p>
      <w:pPr>
        <w:pStyle w:val="Heading4"/>
      </w:pPr>
      <w:r>
        <w:t xml:space="preserve">Billed To (Client)</w:t>
      </w:r>
    </w:p>
    <w:p>
      <w:pPr>
        <w:pStyle w:val="FirstParagraph"/>
      </w:pPr>
      <w:r>
        <w:rPr>
          <w:bCs/>
          <w:b/>
        </w:rPr>
        <w:t xml:space="preserve">Frankfurt Metropolitan Water Authority</w:t>
      </w:r>
    </w:p>
    <w:p>
      <w:pPr>
        <w:pStyle w:val="BodyText"/>
      </w:pPr>
      <w:r>
        <w:t xml:space="preserve">Wasserversorgung Frankfurt GmbH</w:t>
      </w:r>
    </w:p>
    <w:p>
      <w:pPr>
        <w:pStyle w:val="BodyText"/>
      </w:pPr>
      <w:r>
        <w:t xml:space="preserve">Bockenheimer Landstraße 118</w:t>
      </w:r>
    </w:p>
    <w:p>
      <w:pPr>
        <w:pStyle w:val="BodyText"/>
      </w:pPr>
      <w:r>
        <w:t xml:space="preserve">60323 Frankfurt am Main, Germany</w:t>
      </w:r>
    </w:p>
    <w:p>
      <w:pPr>
        <w:pStyle w:val="BodyText"/>
      </w:pPr>
      <w:r>
        <w:t xml:space="preserve">Attn: Dr. Markus Weber, Procurement Director</w:t>
      </w:r>
    </w:p>
    <w:bookmarkEnd w:id="23"/>
    <w:bookmarkStart w:id="24" w:name="project-reference"/>
    <w:p>
      <w:pPr>
        <w:pStyle w:val="Heading4"/>
      </w:pPr>
      <w:r>
        <w:t xml:space="preserve">Project Reference</w:t>
      </w:r>
    </w:p>
    <w:p>
      <w:pPr>
        <w:pStyle w:val="FirstParagraph"/>
      </w:pPr>
      <w:r>
        <w:rPr>
          <w:bCs/>
          <w:b/>
        </w:rPr>
        <w:t xml:space="preserve">Contract No.:</w:t>
      </w:r>
      <w:r>
        <w:t xml:space="preserve"> </w:t>
      </w:r>
      <w:r>
        <w:t xml:space="preserve">WFA-2025-BIO-009</w:t>
      </w:r>
    </w:p>
    <w:p>
      <w:pPr>
        <w:pStyle w:val="BodyText"/>
      </w:pPr>
      <w:r>
        <w:rPr>
          <w:bCs/>
          <w:b/>
        </w:rPr>
        <w:t xml:space="preserve">Project:</w:t>
      </w:r>
      <w:r>
        <w:t xml:space="preserve"> </w:t>
      </w:r>
      <w:r>
        <w:t xml:space="preserve">Main River Ecosystem Assessment</w:t>
      </w:r>
    </w:p>
    <w:p>
      <w:pPr>
        <w:pStyle w:val="BodyText"/>
      </w:pPr>
      <w:r>
        <w:rPr>
          <w:bCs/>
          <w:b/>
        </w:rPr>
        <w:t xml:space="preserve">Location:</w:t>
      </w:r>
      <w:r>
        <w:t xml:space="preserve"> </w:t>
      </w:r>
      <w:r>
        <w:t xml:space="preserve">Germany Frankfurt</w:t>
      </w:r>
    </w:p>
    <w:p>
      <w:pPr>
        <w:pStyle w:val="BodyText"/>
      </w:pPr>
      <w:r>
        <w:rPr>
          <w:bCs/>
          <w:b/>
        </w:rPr>
        <w:t xml:space="preserve">Period:</w:t>
      </w:r>
      <w:r>
        <w:t xml:space="preserve"> </w:t>
      </w:r>
      <w:r>
        <w:t xml:space="preserve">01 Apr 2025 – 30 May 2025</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Field Sampling &amp; Aquatic Biodiversity Survey</w:t>
            </w:r>
          </w:p>
          <w:p>
            <w:pPr>
              <w:jc w:val="left"/>
            </w:pPr>
            <w:r>
              <w:t xml:space="preserve">Comprehensive water quality sampling and macroinvertebrate biodiversity assessment conducted along 12 km of the Main River within the Germany Frankfurt municipal boundary. Performed by a licensed Biologist in accordance with EU Water Framework Directive 2000/60/EC. Includes collection, preservation, and preliminary identification of 340+ specimen samples.</w:t>
            </w:r>
          </w:p>
        </w:tc>
        <w:tc>
          <w:tcPr/>
          <w:p>
            <w:pPr>
              <w:pStyle w:val="Compact"/>
              <w:jc w:val="left"/>
            </w:pPr>
            <w:r>
              <w:t xml:space="preserve">48 hours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rPr>
                <w:bCs/>
                <w:b/>
              </w:rPr>
              <w:t xml:space="preserve">Microbiological Laboratory Analysis</w:t>
            </w:r>
          </w:p>
          <w:p>
            <w:pPr>
              <w:jc w:val="left"/>
            </w:pPr>
            <w:r>
              <w:t xml:space="preserve">Full microbiological panel analysis of 86 water samples at the Frankfurt Biologie Institut laboratory. The Biologist supervised all culture, plating, and identification procedures including E. coli, Enterococci, coliform bacteria, and total viable count determinations. Results cross-referenced against German drinking water standards (TrinkwV).</w:t>
            </w:r>
          </w:p>
        </w:tc>
        <w:tc>
          <w:tcPr/>
          <w:p>
            <w:pPr>
              <w:pStyle w:val="Compact"/>
              <w:jc w:val="left"/>
            </w:pPr>
            <w:r>
              <w:t xml:space="preserve">86 samples</w:t>
            </w:r>
          </w:p>
        </w:tc>
        <w:tc>
          <w:tcPr/>
          <w:p>
            <w:pPr>
              <w:pStyle w:val="Compact"/>
              <w:jc w:val="left"/>
            </w:pPr>
            <w:r>
              <w:t xml:space="preserve">€92.50</w:t>
            </w:r>
          </w:p>
        </w:tc>
        <w:tc>
          <w:tcPr/>
          <w:p>
            <w:pPr>
              <w:pStyle w:val="Compact"/>
              <w:jc w:val="left"/>
            </w:pPr>
            <w:r>
              <w:t xml:space="preserve">€7,955.00</w:t>
            </w:r>
          </w:p>
        </w:tc>
      </w:tr>
      <w:tr>
        <w:tc>
          <w:tcPr/>
          <w:p>
            <w:pPr>
              <w:pStyle w:val="Compact"/>
              <w:jc w:val="left"/>
            </w:pPr>
            <w:r>
              <w:t xml:space="preserve">3</w:t>
            </w:r>
          </w:p>
        </w:tc>
        <w:tc>
          <w:tcPr/>
          <w:p>
            <w:pPr>
              <w:pStyle w:val="Compact"/>
              <w:jc w:val="left"/>
            </w:pPr>
            <w:r>
              <w:rPr>
                <w:bCs/>
                <w:b/>
              </w:rPr>
              <w:t xml:space="preserve">Ecological Impact Assessment Report</w:t>
            </w:r>
          </w:p>
          <w:p>
            <w:pPr>
              <w:jc w:val="left"/>
            </w:pPr>
            <w:r>
              <w:t xml:space="preserve">Preparation of a 120-page ecological impact assessment report evaluating the proposed expansion of the Frankfurt wastewater treatment facility. The Biologist authored all taxonomic classifications, population viability analyses, and habitat connectivity models. Report submitted to the Hessian State Office for Environment and Consumer Protection (HLUG) in Germany Frankfurt.</w:t>
            </w:r>
          </w:p>
        </w:tc>
        <w:tc>
          <w:tcPr/>
          <w:p>
            <w:pPr>
              <w:pStyle w:val="Compact"/>
              <w:jc w:val="left"/>
            </w:pPr>
            <w:r>
              <w:t xml:space="preserve">1 report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4</w:t>
            </w:r>
          </w:p>
        </w:tc>
        <w:tc>
          <w:tcPr/>
          <w:p>
            <w:pPr>
              <w:pStyle w:val="Compact"/>
              <w:jc w:val="left"/>
            </w:pPr>
            <w:r>
              <w:rPr>
                <w:bCs/>
                <w:b/>
              </w:rPr>
              <w:t xml:space="preserve">Expert Consultation &amp; Regulatory Advisory</w:t>
            </w:r>
          </w:p>
          <w:p>
            <w:pPr>
              <w:jc w:val="left"/>
            </w:pPr>
            <w:r>
              <w:t xml:space="preserve">On-site and remote consultation sessions with the Frankfurt Metropolitan Water Authority engineering team. The Biologist provided expert guidance on compliance with the German Federal Nature Conservation Act (BNatSchG), advised on protected species mitigation strategies, and conducted three in-person advisory meetings at the client's Germany Frankfurt headquarters.</w:t>
            </w:r>
          </w:p>
        </w:tc>
        <w:tc>
          <w:tcPr/>
          <w:p>
            <w:pPr>
              <w:pStyle w:val="Compact"/>
              <w:jc w:val="left"/>
            </w:pPr>
            <w:r>
              <w:t xml:space="preserve">16 hours</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5</w:t>
            </w:r>
          </w:p>
        </w:tc>
        <w:tc>
          <w:tcPr/>
          <w:p>
            <w:pPr>
              <w:pStyle w:val="Compact"/>
              <w:jc w:val="left"/>
            </w:pPr>
            <w:r>
              <w:rPr>
                <w:bCs/>
                <w:b/>
              </w:rPr>
              <w:t xml:space="preserve">Public Presentation &amp; Stakeholder Briefing</w:t>
            </w:r>
          </w:p>
          <w:p>
            <w:pPr>
              <w:jc w:val="left"/>
            </w:pPr>
            <w:r>
              <w:t xml:space="preserve">Delivery of a 90-minute scientific presentation to the Frankfurt City Council Environmental Committee and 45 community stakeholders. The Biologist presented findings on Main River ecosystem health, projected biodiversity trends for 2025–2035, and answered technical questions regarding conservation measures in the Germany Frankfurt urban corridor.</w:t>
            </w:r>
          </w:p>
        </w:tc>
        <w:tc>
          <w:tcPr/>
          <w:p>
            <w:pPr>
              <w:pStyle w:val="Compact"/>
              <w:jc w:val="left"/>
            </w:pPr>
            <w:r>
              <w:t xml:space="preserve">1 event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6</w:t>
            </w:r>
          </w:p>
        </w:tc>
        <w:tc>
          <w:tcPr/>
          <w:p>
            <w:pPr>
              <w:pStyle w:val="Compact"/>
              <w:jc w:val="left"/>
            </w:pPr>
            <w:r>
              <w:rPr>
                <w:bCs/>
                <w:b/>
              </w:rPr>
              <w:t xml:space="preserve">Travel &amp; Field Equipment Expenses</w:t>
            </w:r>
          </w:p>
          <w:p>
            <w:pPr>
              <w:jc w:val="left"/>
            </w:pPr>
            <w:r>
              <w:t xml:space="preserve">Reimbursement of travel costs (ICE rail, local transit within Germany Frankfurt), specialized field equipment rental (portable spectrophotometer, GPS transect units, cold-chain transport cases), and consumable laboratory reagents used during the assessment period.</w:t>
            </w:r>
          </w:p>
        </w:tc>
        <w:tc>
          <w:tcPr/>
          <w:p>
            <w:pPr>
              <w:pStyle w:val="Compact"/>
              <w:jc w:val="left"/>
            </w:pPr>
            <w:r>
              <w:t xml:space="preserve">1 lump sum</w:t>
            </w:r>
          </w:p>
        </w:tc>
        <w:tc>
          <w:tcPr/>
          <w:p>
            <w:pPr>
              <w:pStyle w:val="Compact"/>
              <w:jc w:val="left"/>
            </w:pPr>
            <w:r>
              <w:t xml:space="preserve">€1,640.00</w:t>
            </w:r>
          </w:p>
        </w:tc>
        <w:tc>
          <w:tcPr/>
          <w:p>
            <w:pPr>
              <w:pStyle w:val="Compact"/>
              <w:jc w:val="left"/>
            </w:pPr>
            <w:r>
              <w:t xml:space="preserve">€1,640.00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€37,085.00</w:t>
            </w:r>
          </w:p>
        </w:tc>
      </w:tr>
      <w:tr>
        <w:tc>
          <w:tcPr/>
          <w:p>
            <w:pPr>
              <w:pStyle w:val="Compact"/>
              <w:jc w:val="left"/>
            </w:pPr>
            <w:r>
              <w:t xml:space="preserve">VAT (MwSt.) — 19%</w:t>
            </w:r>
          </w:p>
        </w:tc>
        <w:tc>
          <w:tcPr/>
          <w:p>
            <w:pPr>
              <w:pStyle w:val="Compact"/>
              <w:jc w:val="left"/>
            </w:pPr>
            <w:r>
              <w:t xml:space="preserve">€7,046.15</w:t>
            </w:r>
          </w:p>
        </w:tc>
      </w:tr>
      <w:tr>
        <w:tc>
          <w:tcPr/>
          <w:p>
            <w:pPr>
              <w:pStyle w:val="Compact"/>
              <w:jc w:val="left"/>
            </w:pPr>
            <w:r>
              <w:t xml:space="preserve">Total Amount Due</w:t>
            </w:r>
          </w:p>
        </w:tc>
        <w:tc>
          <w:tcPr/>
          <w:p>
            <w:pPr>
              <w:pStyle w:val="Compact"/>
              <w:jc w:val="left"/>
            </w:pPr>
            <w:r>
              <w:t xml:space="preserve">€44,131.15</w:t>
            </w:r>
          </w:p>
        </w:tc>
      </w:tr>
    </w:tbl>
    <w:bookmarkStart w:id="25" w:name="payment-instructions"/>
    <w:p>
      <w:pPr>
        <w:pStyle w:val="Heading4"/>
      </w:pPr>
      <w:r>
        <w:t xml:space="preserve">Payment Instructions</w:t>
      </w:r>
    </w:p>
    <w:p>
      <w:pPr>
        <w:pStyle w:val="FirstParagraph"/>
      </w:pPr>
      <w:r>
        <w:t xml:space="preserve">Please remit payment of</w:t>
      </w:r>
      <w:r>
        <w:t xml:space="preserve"> </w:t>
      </w:r>
      <w:r>
        <w:rPr>
          <w:bCs/>
          <w:b/>
        </w:rPr>
        <w:t xml:space="preserve">€44,131.15</w:t>
      </w:r>
      <w:r>
        <w:t xml:space="preserve"> </w:t>
      </w:r>
      <w:r>
        <w:t xml:space="preserve">within fourteen (14) calendar days of the invoice date (due by 30 June 2025) via bank transfer to the following account:</w:t>
      </w:r>
    </w:p>
    <w:p>
      <w:pPr>
        <w:pStyle w:val="BodyText"/>
      </w:pPr>
      <w:r>
        <w:rPr>
          <w:bCs/>
          <w:b/>
        </w:rPr>
        <w:t xml:space="preserve">Frankfurter Biologie Institut GmbH</w:t>
      </w:r>
      <w:r>
        <w:br/>
      </w:r>
      <w:r>
        <w:t xml:space="preserve">Bank: Commerzbank AG, Frankfurt am Main</w:t>
      </w:r>
      <w:r>
        <w:br/>
      </w:r>
      <w:r>
        <w:t xml:space="preserve">IBAN: DE89 3704 0044 0532 0100 00</w:t>
      </w:r>
      <w:r>
        <w:br/>
      </w:r>
      <w:r>
        <w:t xml:space="preserve">BIC: COBADEFFXXX</w:t>
      </w:r>
      <w:r>
        <w:br/>
      </w:r>
      <w:r>
        <w:t xml:space="preserve">Reference: Invoice No. FB-2025-0417 / Contract WFA-2025-BIO-009</w:t>
      </w:r>
    </w:p>
    <w:p>
      <w:pPr>
        <w:pStyle w:val="BodyText"/>
      </w:pPr>
      <w:r>
        <w:t xml:space="preserve">Late payments are subject to statutory interest of 8 percentage points above the ECB base rate in accordance with § 288 of the German Civil Code (BGB). Please reference the invoice number on all correspondence and remittances.</w:t>
      </w:r>
    </w:p>
    <w:bookmarkEnd w:id="25"/>
    <w:bookmarkStart w:id="26" w:name="notes-terms-of-service"/>
    <w:p>
      <w:pPr>
        <w:pStyle w:val="Heading4"/>
      </w:pPr>
      <w:r>
        <w:t xml:space="preserve">Notes &amp; Terms of Service</w:t>
      </w:r>
    </w:p>
    <w:p>
      <w:pPr>
        <w:pStyle w:val="FirstParagraph"/>
      </w:pPr>
      <w:r>
        <w:t xml:space="preserve">This Invoice is issued by a certified Biologist operating under the professional regulations of the Hessian Chamber of Natural Scientists (Hessische Ingenieurkammer) and is governed by the laws of the Federal Republic of Germany. All biological assessments, taxonomic identifications, and ecological recommendations contained in the referenced deliverables were performed by Dr. Elena Hartmann, Ph.D., a licensed Biologist registered in Germany Frankfurt. The client acknowledges that the findings presented constitute independent scientific opinion and do not constitute legal or engineering advice. This Invoice shall be deemed accepted upon receipt of the final deliverables. Any disputes arising from this Invoice or the associated services shall be resolved under the jurisdiction of the Local Court (Amtsgericht) Frankfurt am Main, Germany Frankfurt. All data collected during the fieldwork period remains the intellectual property of the Biologist and the issuing institution until full payment of this Invoice is confirmed in writing.</w:t>
      </w:r>
    </w:p>
    <w:bookmarkEnd w:id="26"/>
    <w:p>
      <w:pPr>
        <w:pStyle w:val="BodyText"/>
      </w:pPr>
      <w:r>
        <w:t xml:space="preserve">Frankfurter Biologie Institut GmbH — Sachsenhausenallee 42, 60594 Frankfurt am Main, Germany Frankfurt</w:t>
      </w:r>
      <w:r>
        <w:br/>
      </w:r>
      <w:r>
        <w:t xml:space="preserve">Managing Director: Dr. Elena Hartmann — HRB 88412, Amtsgericht Frankfurt am Main — USt-IdNr.: DE 318 456 721</w:t>
      </w:r>
      <w:r>
        <w:br/>
      </w:r>
      <w:r>
        <w:t xml:space="preserve">This Invoice was generated electronically and is valid without a physical signature pursuant to § 126a BGB.</w:t>
      </w:r>
      <w:r>
        <w:br/>
      </w:r>
      <w:r>
        <w:t xml:space="preserve">© 2025 Frankfurter Biologie Institut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Germany Frankfurt</dc:title>
  <dc:creator/>
  <dc:language>en</dc:language>
  <cp:keywords/>
  <dcterms:created xsi:type="dcterms:W3CDTF">2026-10-10T07:32:09Z</dcterms:created>
  <dcterms:modified xsi:type="dcterms:W3CDTF">2026-10-10T07:32:09Z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