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invoice"/>
    <w:p>
      <w:pPr>
        <w:pStyle w:val="Heading1"/>
      </w:pPr>
      <w:r>
        <w:t xml:space="preserve">INVOICE</w:t>
      </w:r>
    </w:p>
    <w:p>
      <w:pPr>
        <w:pStyle w:val="FirstParagraph"/>
      </w:pPr>
      <w:r>
        <w:t xml:space="preserve">Professional Biological Research &amp; Consulting Services</w:t>
      </w:r>
    </w:p>
    <w:p>
      <w:pPr>
        <w:pStyle w:val="BodyText"/>
      </w:pPr>
      <w:r>
        <w:t xml:space="preserve">Kyoto, Japan</w:t>
      </w:r>
    </w:p>
    <w:bookmarkEnd w:id="20"/>
    <w:p>
      <w:pPr>
        <w:pStyle w:val="BodyText"/>
      </w:pPr>
      <w:r>
        <w:rPr>
          <w:bCs/>
          <w:b/>
        </w:rPr>
        <w:t xml:space="preserve">Invoice No.:</w:t>
      </w:r>
      <w:r>
        <w:t xml:space="preserve"> </w:t>
      </w:r>
      <w:r>
        <w:t xml:space="preserve">KYO-BIO-2025-0472</w:t>
      </w:r>
    </w:p>
    <w:p>
      <w:pPr>
        <w:pStyle w:val="BodyText"/>
      </w:pPr>
      <w:r>
        <w:rPr>
          <w:bCs/>
          <w:b/>
        </w:rPr>
        <w:t xml:space="preserve">Date Issued:</w:t>
      </w:r>
      <w:r>
        <w:t xml:space="preserve"> </w:t>
      </w:r>
      <w:r>
        <w:t xml:space="preserve">March 14, 2025</w:t>
      </w:r>
    </w:p>
    <w:p>
      <w:pPr>
        <w:pStyle w:val="BodyText"/>
      </w:pPr>
      <w:r>
        <w:rPr>
          <w:bCs/>
          <w:b/>
        </w:rPr>
        <w:t xml:space="preserve">Due Date:</w:t>
      </w:r>
      <w:r>
        <w:t xml:space="preserve"> </w:t>
      </w:r>
      <w:r>
        <w:t xml:space="preserve">April 13,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Start w:id="21" w:name="biologist-service-provider"/>
    <w:p>
      <w:pPr>
        <w:pStyle w:val="Heading3"/>
      </w:pPr>
      <w:r>
        <w:t xml:space="preserve">Biologist / Service Provider</w:t>
      </w:r>
    </w:p>
    <w:p>
      <w:pPr>
        <w:pStyle w:val="FirstParagraph"/>
      </w:pPr>
      <w:r>
        <w:rPr>
          <w:bCs/>
          <w:b/>
        </w:rPr>
        <w:t xml:space="preserve">Dr. Haruki Tanaka, Ph.D. (Biology)</w:t>
      </w:r>
    </w:p>
    <w:p>
      <w:pPr>
        <w:pStyle w:val="BodyText"/>
      </w:pPr>
      <w:r>
        <w:t xml:space="preserve">Senior Biologist &amp; Research Consultant</w:t>
      </w:r>
    </w:p>
    <w:p>
      <w:pPr>
        <w:pStyle w:val="BodyText"/>
      </w:pPr>
      <w:r>
        <w:t xml:space="preserve">Kyoto Biological Sciences Institute</w:t>
      </w:r>
    </w:p>
    <w:p>
      <w:pPr>
        <w:pStyle w:val="BodyText"/>
      </w:pPr>
      <w:r>
        <w:t xml:space="preserve">45-2 Higashiyama-ku, Sakyo Ward</w:t>
      </w:r>
    </w:p>
    <w:p>
      <w:pPr>
        <w:pStyle w:val="BodyText"/>
      </w:pPr>
      <w:r>
        <w:t xml:space="preserve">Kyoto 605-0000, Japan</w:t>
      </w:r>
    </w:p>
    <w:p>
      <w:pPr>
        <w:pStyle w:val="BodyText"/>
      </w:pPr>
      <w:r>
        <w:t xml:space="preserve">Tel: +81-75-555-0142</w:t>
      </w:r>
    </w:p>
    <w:p>
      <w:pPr>
        <w:pStyle w:val="BodyText"/>
      </w:pPr>
      <w:r>
        <w:t xml:space="preserve">Email: h.tanaka@kyoto-bio.jp</w:t>
      </w:r>
    </w:p>
    <w:p>
      <w:pPr>
        <w:pStyle w:val="BodyText"/>
      </w:pPr>
      <w:r>
        <w:t xml:space="preserve">License No.: JP-BIO-2019-8834</w:t>
      </w:r>
    </w:p>
    <w:bookmarkEnd w:id="21"/>
    <w:bookmarkStart w:id="22" w:name="billed-to-client"/>
    <w:p>
      <w:pPr>
        <w:pStyle w:val="Heading3"/>
      </w:pPr>
      <w:r>
        <w:t xml:space="preserve">Billed To / Client</w:t>
      </w:r>
    </w:p>
    <w:p>
      <w:pPr>
        <w:pStyle w:val="FirstParagraph"/>
      </w:pPr>
      <w:r>
        <w:rPr>
          <w:bCs/>
          <w:b/>
        </w:rPr>
        <w:t xml:space="preserve">Kyoto Prefectural Environmental Research Bureau</w:t>
      </w:r>
    </w:p>
    <w:p>
      <w:pPr>
        <w:pStyle w:val="BodyText"/>
      </w:pPr>
      <w:r>
        <w:t xml:space="preserve">Attn: Director Sato, Environmental Monitoring Division</w:t>
      </w:r>
    </w:p>
    <w:p>
      <w:pPr>
        <w:pStyle w:val="BodyText"/>
      </w:pPr>
      <w:r>
        <w:t xml:space="preserve">1-1-1 Nijodori, Nakagyo-ku</w:t>
      </w:r>
    </w:p>
    <w:p>
      <w:pPr>
        <w:pStyle w:val="BodyText"/>
      </w:pPr>
      <w:r>
        <w:t xml:space="preserve">Kyoto 604-8501, Japan</w:t>
      </w:r>
    </w:p>
    <w:p>
      <w:pPr>
        <w:pStyle w:val="BodyText"/>
      </w:pPr>
      <w:r>
        <w:t xml:space="preserve">Tel: +81-75-414-4141</w:t>
      </w:r>
    </w:p>
    <w:p>
      <w:pPr>
        <w:pStyle w:val="BodyText"/>
      </w:pPr>
      <w:r>
        <w:t xml:space="preserve">Email: env-research@pref.kyoto.lg.jp</w:t>
      </w:r>
    </w:p>
    <w:p>
      <w:pPr>
        <w:pStyle w:val="BodyText"/>
      </w:pPr>
      <w:r>
        <w:t xml:space="preserve">Client Reference: KPE-2025-Q1-0091</w:t>
      </w:r>
    </w:p>
    <w:bookmarkEnd w:id="22"/>
    <w:bookmarkStart w:id="24" w:name="X2534dba7a9a4ff513d47ef947940bbaf602eb19"/>
    <w:p>
      <w:pPr>
        <w:pStyle w:val="Heading2"/>
      </w:pPr>
      <w:r>
        <w:t xml:space="preserve">Description of Biologist Services Rendered in Kyoto, Japan</w:t>
      </w:r>
    </w:p>
    <w:p>
      <w:pPr>
        <w:pStyle w:val="FirstParagraph"/>
      </w:pPr>
      <w:r>
        <w:t xml:space="preserve">The following invoice pertains to professional biological fieldwork, laboratory analysis, and ecological consulting services performed by the undersigned Biologist within the Kyoto metropolitan area and surrounding prefectural regions during the period of January 6, 2025, through March 10, 2025. All services were conducted in compliance with Japanese environmental regulations and the Kyoto Prefectural Research Ethics Board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Field biological survey of the Kamo River watershed ecosystem, including aquatic invertebrate sampling, water quality biomonitoring, and habitat assessment conducted along the riverbanks in Nakagyo-ku, Kyoto.</w:t>
            </w:r>
          </w:p>
        </w:tc>
        <w:tc>
          <w:tcPr/>
          <w:p>
            <w:pPr>
              <w:pStyle w:val="Compact"/>
              <w:jc w:val="left"/>
            </w:pPr>
            <w:r>
              <w:t xml:space="preserve">Jan 6 – Jan 18, 2025</w:t>
            </w:r>
          </w:p>
        </w:tc>
        <w:tc>
          <w:tcPr/>
          <w:p>
            <w:pPr>
              <w:pStyle w:val="Compact"/>
              <w:jc w:val="left"/>
            </w:pPr>
            <w:r>
              <w:t xml:space="preserve">48 hours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Microbiological laboratory analysis of soil and sediment samples collected from the Arashiyama bamboo forest region, including bacterial culture identification, fungal diversity profiling, and heavy metal bioaccumulation testing.</w:t>
            </w:r>
          </w:p>
        </w:tc>
        <w:tc>
          <w:tcPr/>
          <w:p>
            <w:pPr>
              <w:pStyle w:val="Compact"/>
              <w:jc w:val="left"/>
            </w:pPr>
            <w:r>
              <w:t xml:space="preserve">Jan 20 – Feb 7, 2025</w:t>
            </w:r>
          </w:p>
        </w:tc>
        <w:tc>
          <w:tcPr/>
          <w:p>
            <w:pPr>
              <w:pStyle w:val="Compact"/>
              <w:jc w:val="left"/>
            </w:pPr>
            <w:r>
              <w:t xml:space="preserve">36 hours</w:t>
            </w:r>
          </w:p>
        </w:tc>
        <w:tc>
          <w:tcPr/>
          <w:p>
            <w:pPr>
              <w:pStyle w:val="Compact"/>
              <w:jc w:val="left"/>
            </w:pPr>
            <w:r>
              <w:t xml:space="preserve">¥15,500</w:t>
            </w:r>
          </w:p>
        </w:tc>
        <w:tc>
          <w:tcPr/>
          <w:p>
            <w:pPr>
              <w:pStyle w:val="Compact"/>
              <w:jc w:val="left"/>
            </w:pPr>
            <w:r>
              <w:t xml:space="preserve">¥558,000</w:t>
            </w:r>
          </w:p>
        </w:tc>
      </w:tr>
      <w:tr>
        <w:tc>
          <w:tcPr/>
          <w:p>
            <w:pPr>
              <w:pStyle w:val="Compact"/>
              <w:jc w:val="left"/>
            </w:pPr>
            <w:r>
              <w:t xml:space="preserve">3</w:t>
            </w:r>
          </w:p>
        </w:tc>
        <w:tc>
          <w:tcPr/>
          <w:p>
            <w:pPr>
              <w:pStyle w:val="Compact"/>
              <w:jc w:val="left"/>
            </w:pPr>
            <w:r>
              <w:t xml:space="preserve">Ecological impact assessment and biodiversity inventory of the Philosopher's Path (Tetsugaku-no-Michi) corridor, documenting native plant species, pollinator populations, and seasonal phenological changes for the Kyoto Prefectural Environmental Research Bureau.</w:t>
            </w:r>
          </w:p>
        </w:tc>
        <w:tc>
          <w:tcPr/>
          <w:p>
            <w:pPr>
              <w:pStyle w:val="Compact"/>
              <w:jc w:val="left"/>
            </w:pPr>
            <w:r>
              <w:t xml:space="preserve">Feb 10 – Feb 28, 2025</w:t>
            </w:r>
          </w:p>
        </w:tc>
        <w:tc>
          <w:tcPr/>
          <w:p>
            <w:pPr>
              <w:pStyle w:val="Compact"/>
              <w:jc w:val="left"/>
            </w:pPr>
            <w:r>
              <w:t xml:space="preserve">40 hours</w:t>
            </w:r>
          </w:p>
        </w:tc>
        <w:tc>
          <w:tcPr/>
          <w:p>
            <w:pPr>
              <w:pStyle w:val="Compact"/>
              <w:jc w:val="left"/>
            </w:pPr>
            <w:r>
              <w:t xml:space="preserve">¥13,000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Preparation and submission of a comprehensive biological research report (120 pages) detailing findings from all fieldwork and laboratory analyses, including recommendations for sustainable ecosystem management in the Kyoto basin.</w:t>
            </w:r>
          </w:p>
        </w:tc>
        <w:tc>
          <w:tcPr/>
          <w:p>
            <w:pPr>
              <w:pStyle w:val="Compact"/>
              <w:jc w:val="left"/>
            </w:pPr>
            <w:r>
              <w:t xml:space="preserve">Mar 1 – Mar 10, 2025</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On-site consultation and presentation of biological findings to the Kyoto Prefectural Environmental Research Bureau leadership team, including a 3-hour briefing session and Q&amp;A at the bureau headquarters in Nakagyo-ku, Kyoto.</w:t>
            </w:r>
          </w:p>
        </w:tc>
        <w:tc>
          <w:tcPr/>
          <w:p>
            <w:pPr>
              <w:pStyle w:val="Compact"/>
              <w:jc w:val="left"/>
            </w:pPr>
            <w:r>
              <w:t xml:space="preserve">Mar 10, 2025</w:t>
            </w:r>
          </w:p>
        </w:tc>
        <w:tc>
          <w:tcPr/>
          <w:p>
            <w:pPr>
              <w:pStyle w:val="Compact"/>
              <w:jc w:val="left"/>
            </w:pPr>
            <w:r>
              <w:t xml:space="preserve">5 hours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Specialized DNA barcoding and molecular phylogenetic analysis of unidentified macroinvertebrate specimens collected during the Kamo River survey, performed at the Kyoto University Biological Laboratory.</w:t>
            </w:r>
          </w:p>
        </w:tc>
        <w:tc>
          <w:tcPr/>
          <w:p>
            <w:pPr>
              <w:pStyle w:val="Compact"/>
              <w:jc w:val="left"/>
            </w:pPr>
            <w:r>
              <w:t xml:space="preserve">Feb 12 – Feb 25, 2025</w:t>
            </w:r>
          </w:p>
        </w:tc>
        <w:tc>
          <w:tcPr/>
          <w:p>
            <w:pPr>
              <w:pStyle w:val="Compact"/>
              <w:jc w:val="left"/>
            </w:pPr>
            <w:r>
              <w:t xml:space="preserve">24 hours</w:t>
            </w:r>
          </w:p>
        </w:tc>
        <w:tc>
          <w:tcPr/>
          <w:p>
            <w:pPr>
              <w:pStyle w:val="Compact"/>
              <w:jc w:val="left"/>
            </w:pPr>
            <w:r>
              <w:t xml:space="preserve">¥22,000</w:t>
            </w:r>
          </w:p>
        </w:tc>
        <w:tc>
          <w:tcPr/>
          <w:p>
            <w:pPr>
              <w:pStyle w:val="Compact"/>
              <w:jc w:val="left"/>
            </w:pPr>
            <w:r>
              <w:t xml:space="preserve">¥528,000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¥2,622,000</w:t>
            </w:r>
          </w:p>
        </w:tc>
      </w:tr>
      <w:tr>
        <w:tc>
          <w:tcPr/>
          <w:p>
            <w:pPr>
              <w:pStyle w:val="Compact"/>
              <w:jc w:val="left"/>
            </w:pPr>
            <w:r>
              <w:t xml:space="preserve">Consumable Materials &amp; Reagents</w:t>
            </w:r>
          </w:p>
        </w:tc>
        <w:tc>
          <w:tcPr/>
          <w:p>
            <w:pPr>
              <w:pStyle w:val="Compact"/>
              <w:jc w:val="left"/>
            </w:pPr>
            <w:r>
              <w:t xml:space="preserve">¥87,500</w:t>
            </w:r>
          </w:p>
        </w:tc>
      </w:tr>
      <w:tr>
        <w:tc>
          <w:tcPr/>
          <w:p>
            <w:pPr>
              <w:pStyle w:val="Compact"/>
              <w:jc w:val="left"/>
            </w:pPr>
            <w:r>
              <w:t xml:space="preserve">Travel &amp; Field Logistics (Kyoto Prefecture)</w:t>
            </w:r>
          </w:p>
        </w:tc>
        <w:tc>
          <w:tcPr/>
          <w:p>
            <w:pPr>
              <w:pStyle w:val="Compact"/>
              <w:jc w:val="left"/>
            </w:pPr>
            <w:r>
              <w:t xml:space="preserve">¥42,300</w:t>
            </w:r>
          </w:p>
        </w:tc>
      </w:tr>
      <w:tr>
        <w:tc>
          <w:tcPr/>
          <w:p>
            <w:pPr>
              <w:pStyle w:val="Compact"/>
              <w:jc w:val="left"/>
            </w:pPr>
            <w:r>
              <w:t xml:space="preserve">Consumption Tax (10%)</w:t>
            </w:r>
          </w:p>
        </w:tc>
        <w:tc>
          <w:tcPr/>
          <w:p>
            <w:pPr>
              <w:pStyle w:val="Compact"/>
              <w:jc w:val="left"/>
            </w:pPr>
            <w:r>
              <w:t xml:space="preserve">¥275,180</w:t>
            </w:r>
          </w:p>
        </w:tc>
      </w:tr>
      <w:tr>
        <w:tc>
          <w:tcPr/>
          <w:p>
            <w:pPr>
              <w:pStyle w:val="Compact"/>
              <w:jc w:val="left"/>
            </w:pPr>
            <w:r>
              <w:t xml:space="preserve">Grand Total Due</w:t>
            </w:r>
          </w:p>
        </w:tc>
        <w:tc>
          <w:tcPr/>
          <w:p>
            <w:pPr>
              <w:pStyle w:val="Compact"/>
              <w:jc w:val="left"/>
            </w:pPr>
            <w:r>
              <w:t xml:space="preserve">¥3,026,980</w:t>
            </w:r>
          </w:p>
        </w:tc>
      </w:tr>
    </w:tbl>
    <w:bookmarkStart w:id="23" w:name="payment-instructions-notes"/>
    <w:p>
      <w:pPr>
        <w:pStyle w:val="Heading3"/>
      </w:pPr>
      <w:r>
        <w:t xml:space="preserve">Payment Instructions &amp; Notes</w:t>
      </w:r>
    </w:p>
    <w:p>
      <w:pPr>
        <w:pStyle w:val="FirstParagraph"/>
      </w:pPr>
      <w:r>
        <w:rPr>
          <w:bCs/>
          <w:b/>
        </w:rPr>
        <w:t xml:space="preserve">Bank Transfer (Japan):</w:t>
      </w:r>
      <w:r>
        <w:t xml:space="preserve"> </w:t>
      </w:r>
      <w:r>
        <w:t xml:space="preserve">Mizuho Bank, Kyoto Central Branch, Account Name: Haruki Tanaka, Account No. 214-558-773, Branch Code: 001, Account Type: Ordinary (Futsuu).</w:t>
      </w:r>
    </w:p>
    <w:p>
      <w:pPr>
        <w:pStyle w:val="BodyText"/>
      </w:pPr>
      <w:r>
        <w:rPr>
          <w:bCs/>
          <w:b/>
        </w:rPr>
        <w:t xml:space="preserve">Payment Deadline:</w:t>
      </w:r>
      <w:r>
        <w:t xml:space="preserve"> </w:t>
      </w:r>
      <w:r>
        <w:t xml:space="preserve">This invoice is due within thirty (30) calendar days of the issue date, no later than April 13, 2025. Late payments will incur a penalty of 1.5% per month as stipulated under Japanese commercial practice.</w:t>
      </w:r>
    </w:p>
    <w:p>
      <w:pPr>
        <w:pStyle w:val="BodyText"/>
      </w:pPr>
      <w:r>
        <w:rPr>
          <w:bCs/>
          <w:b/>
        </w:rPr>
        <w:t xml:space="preserve">Tax Registration:</w:t>
      </w:r>
      <w:r>
        <w:t xml:space="preserve"> </w:t>
      </w:r>
      <w:r>
        <w:t xml:space="preserve">The Biologist service provider is registered under the Japanese Consumption Tax system. Tax Number: 60-1234567-0000. A formal tax receipt (seikyūshōmeisho) will be provided upon request.</w:t>
      </w:r>
    </w:p>
    <w:p>
      <w:pPr>
        <w:pStyle w:val="BodyText"/>
      </w:pPr>
      <w:r>
        <w:rPr>
          <w:bCs/>
          <w:b/>
        </w:rPr>
        <w:t xml:space="preserve">Service Location:</w:t>
      </w:r>
      <w:r>
        <w:t xml:space="preserve"> </w:t>
      </w:r>
      <w:r>
        <w:t xml:space="preserve">All fieldwork and laboratory services referenced in this invoice were conducted within the administrative boundaries of Kyoto Prefecture, Japan. The Biologist operated under the jurisdiction of the Kyoto Prefectural Board of Environmental Science and in accordance with the Japanese Environmental Basic Law (Act No. 93 of 1993).</w:t>
      </w:r>
    </w:p>
    <w:p>
      <w:pPr>
        <w:pStyle w:val="BodyText"/>
      </w:pPr>
      <w:r>
        <w:rPr>
          <w:bCs/>
          <w:b/>
        </w:rPr>
        <w:t xml:space="preserve">Warranty of Work:</w:t>
      </w:r>
      <w:r>
        <w:t xml:space="preserve"> </w:t>
      </w:r>
      <w:r>
        <w:t xml:space="preserve">The biological data, analyses, and recommendations contained in the deliverables associated with this invoice are warranted to be accurate to the best of the Biologist's professional scientific judgment. Any disputes regarding the quality of biological research services shall be resolved through mediation in the city of Kyoto, Japan, in accordance with Japanese civil law.</w:t>
      </w:r>
    </w:p>
    <w:p>
      <w:pPr>
        <w:pStyle w:val="BodyText"/>
      </w:pPr>
      <w:r>
        <w:rPr>
          <w:bCs/>
          <w:b/>
        </w:rPr>
        <w:t xml:space="preserve">Confidentiality:</w:t>
      </w:r>
      <w:r>
        <w:t xml:space="preserve"> </w:t>
      </w:r>
      <w:r>
        <w:t xml:space="preserve">All biological sample data, genetic sequences, and ecological findings generated under this engagement remain the intellectual property of the Kyoto Prefectural Environmental Research Bureau. The Biologist agrees to maintain strict confidentiality of all proprietary biological information in accordance with Japanese data protection standards.</w:t>
      </w:r>
    </w:p>
    <w:bookmarkEnd w:id="23"/>
    <w:p>
      <w:pPr>
        <w:pStyle w:val="BodyText"/>
      </w:pPr>
      <w:r>
        <w:t xml:space="preserve">Thank you for engaging the services of a qualified Biologist for your environmental research needs in Kyoto, Japan.</w:t>
      </w:r>
    </w:p>
    <w:p>
      <w:pPr>
        <w:pStyle w:val="BodyText"/>
      </w:pPr>
      <w:r>
        <w:t xml:space="preserve">This invoice was generated electronically and is valid without a physical signature. For verification, please contact the Kyoto Biological Sciences Institute at +81-75-555-0142.</w:t>
      </w:r>
    </w:p>
    <w:p>
      <w:pPr>
        <w:pStyle w:val="BodyText"/>
      </w:pPr>
      <w:r>
        <w:t xml:space="preserve">Invoice KYO-BIO-2025-0472 | Issued in Kyoto, Japan | March 14,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Kyoto, Japan</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