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bioconsult-peru-s.a.c."/>
    <w:p>
      <w:pPr>
        <w:pStyle w:val="Heading1"/>
      </w:pPr>
      <w:r>
        <w:t xml:space="preserve">BioConsult Peru S.A.C.</w:t>
      </w:r>
    </w:p>
    <w:p>
      <w:pPr>
        <w:pStyle w:val="FirstParagraph"/>
      </w:pPr>
      <w:r>
        <w:t xml:space="preserve">RUC: 20601234567</w:t>
      </w:r>
    </w:p>
    <w:p>
      <w:pPr>
        <w:pStyle w:val="BodyText"/>
      </w:pPr>
      <w:r>
        <w:t xml:space="preserve">Av. Javier Prado Este 1250, Of. 804</w:t>
      </w:r>
    </w:p>
    <w:p>
      <w:pPr>
        <w:pStyle w:val="BodyText"/>
      </w:pPr>
      <w:r>
        <w:t xml:space="preserve">San Isidro, Peru Lima, 15081</w:t>
      </w:r>
    </w:p>
    <w:p>
      <w:pPr>
        <w:pStyle w:val="BodyText"/>
      </w:pPr>
      <w:r>
        <w:t xml:space="preserve">Tel: +51 1 4567 890</w:t>
      </w:r>
    </w:p>
    <w:p>
      <w:pPr>
        <w:pStyle w:val="BodyText"/>
      </w:pPr>
      <w:r>
        <w:t xml:space="preserve">Email: billing@bioconsultperu.pe</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BCP-2025-00487</w:t>
      </w:r>
    </w:p>
    <w:p>
      <w:pPr>
        <w:pStyle w:val="BodyText"/>
      </w:pPr>
      <w:r>
        <w:t xml:space="preserve">Date of Issue: June 15, 2025</w:t>
      </w:r>
    </w:p>
    <w:p>
      <w:pPr>
        <w:pStyle w:val="BodyText"/>
      </w:pPr>
      <w:r>
        <w:t xml:space="preserve">Due Date: July 15, 2025</w:t>
      </w:r>
    </w:p>
    <w:bookmarkEnd w:id="21"/>
    <w:bookmarkStart w:id="22" w:name="bill-to"/>
    <w:p>
      <w:pPr>
        <w:pStyle w:val="Heading3"/>
      </w:pPr>
      <w:r>
        <w:t xml:space="preserve">Bill To</w:t>
      </w:r>
    </w:p>
    <w:p>
      <w:pPr>
        <w:pStyle w:val="FirstParagraph"/>
      </w:pPr>
      <w:r>
        <w:t xml:space="preserve">Client:</w:t>
      </w:r>
      <w:r>
        <w:t xml:space="preserve"> </w:t>
      </w:r>
      <w:r>
        <w:t xml:space="preserve">Empresa Minera del Sur S.A.C.</w:t>
      </w:r>
    </w:p>
    <w:p>
      <w:pPr>
        <w:pStyle w:val="BodyText"/>
      </w:pPr>
      <w:r>
        <w:t xml:space="preserve">RUC:</w:t>
      </w:r>
      <w:r>
        <w:t xml:space="preserve"> </w:t>
      </w:r>
      <w:r>
        <w:t xml:space="preserve">20509876543</w:t>
      </w:r>
    </w:p>
    <w:p>
      <w:pPr>
        <w:pStyle w:val="BodyText"/>
      </w:pPr>
      <w:r>
        <w:t xml:space="preserve">Address:</w:t>
      </w:r>
      <w:r>
        <w:t xml:space="preserve"> </w:t>
      </w:r>
      <w:r>
        <w:t xml:space="preserve">Jr. Puno 456, Of. 301</w:t>
      </w:r>
    </w:p>
    <w:p>
      <w:pPr>
        <w:pStyle w:val="BodyText"/>
      </w:pPr>
      <w:r>
        <w:t xml:space="preserve">City:</w:t>
      </w:r>
      <w:r>
        <w:t xml:space="preserve"> </w:t>
      </w:r>
      <w:r>
        <w:t xml:space="preserve">Peru Lima, 15001</w:t>
      </w:r>
    </w:p>
    <w:p>
      <w:pPr>
        <w:pStyle w:val="BodyText"/>
      </w:pPr>
      <w:r>
        <w:t xml:space="preserve">Attn:</w:t>
      </w:r>
      <w:r>
        <w:t xml:space="preserve"> </w:t>
      </w:r>
      <w:r>
        <w:t xml:space="preserve">Ing. Carlos Mendoza, Environmental Director</w:t>
      </w:r>
    </w:p>
    <w:bookmarkEnd w:id="22"/>
    <w:bookmarkStart w:id="23" w:name="service-provider"/>
    <w:p>
      <w:pPr>
        <w:pStyle w:val="Heading3"/>
      </w:pPr>
      <w:r>
        <w:t xml:space="preserve">Service Provider</w:t>
      </w:r>
    </w:p>
    <w:p>
      <w:pPr>
        <w:pStyle w:val="FirstParagraph"/>
      </w:pPr>
      <w:r>
        <w:t xml:space="preserve">Biologist:</w:t>
      </w:r>
      <w:r>
        <w:t xml:space="preserve"> </w:t>
      </w:r>
      <w:r>
        <w:t xml:space="preserve">Dra. María Fernanda Quispe Rojas</w:t>
      </w:r>
    </w:p>
    <w:p>
      <w:pPr>
        <w:pStyle w:val="BodyText"/>
      </w:pPr>
      <w:r>
        <w:t xml:space="preserve">Professional License:</w:t>
      </w:r>
      <w:r>
        <w:t xml:space="preserve"> </w:t>
      </w:r>
      <w:r>
        <w:t xml:space="preserve">CONACYT-2019-4521</w:t>
      </w:r>
    </w:p>
    <w:p>
      <w:pPr>
        <w:pStyle w:val="BodyText"/>
      </w:pPr>
      <w:r>
        <w:t xml:space="preserve">Specialization:</w:t>
      </w:r>
      <w:r>
        <w:t xml:space="preserve"> </w:t>
      </w:r>
      <w:r>
        <w:t xml:space="preserve">Environmental Biology &amp; Ecological Assessment</w:t>
      </w:r>
    </w:p>
    <w:p>
      <w:pPr>
        <w:pStyle w:val="BodyText"/>
      </w:pPr>
      <w:r>
        <w:t xml:space="preserve">Location:</w:t>
      </w:r>
      <w:r>
        <w:t xml:space="preserve"> </w:t>
      </w:r>
      <w:r>
        <w:t xml:space="preserve">Peru Lima, Peru</w:t>
      </w:r>
    </w:p>
    <w:p>
      <w:pPr>
        <w:pStyle w:val="BodyText"/>
      </w:pPr>
      <w:r>
        <w:t xml:space="preserve">Contact:</w:t>
      </w:r>
      <w:r>
        <w:t xml:space="preserve"> </w:t>
      </w:r>
      <w:r>
        <w:t xml:space="preserve">m.quispe@bioconsultperu.pe</w:t>
      </w:r>
    </w:p>
    <w:bookmarkEnd w:id="23"/>
    <w:tbl>
      <w:tblPr>
        <w:tblStyle w:val="Table"/>
        <w:tblW w:type="pct" w:w="500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(PEN)</w:t>
            </w:r>
          </w:p>
        </w:tc>
        <w:tc>
          <w:tcPr/>
          <w:p>
            <w:pPr>
              <w:pStyle w:val="Compact"/>
              <w:jc w:val="left"/>
            </w:pPr>
            <w:r>
              <w:t xml:space="preserve">Amount (PEN)</w:t>
            </w:r>
          </w:p>
        </w:tc>
        <w:tc>
          <w:tcPr/>
          <w:p>
            <w:pPr>
              <w:pStyle w:val="Compact"/>
              <w:jc w:val="left"/>
            </w:pPr>
            <w:r>
              <w:t xml:space="preserve">IGV 18%</w:t>
            </w:r>
          </w:p>
        </w:tc>
      </w:tr>
      <w:tr>
        <w:tc>
          <w:tcPr/>
          <w:p>
            <w:pPr>
              <w:pStyle w:val="Compact"/>
              <w:jc w:val="left"/>
            </w:pPr>
            <w:r>
              <w:t xml:space="preserve">01</w:t>
            </w:r>
          </w:p>
        </w:tc>
        <w:tc>
          <w:tcPr/>
          <w:p>
            <w:pPr>
              <w:pStyle w:val="Compact"/>
              <w:jc w:val="left"/>
            </w:pPr>
            <w:r>
              <w:rPr>
                <w:bCs/>
                <w:b/>
              </w:rPr>
              <w:t xml:space="preserve">Environmental Impact Assessment – Phase I</w:t>
            </w:r>
          </w:p>
          <w:p>
            <w:pPr>
              <w:jc w:val="left"/>
            </w:pPr>
            <w:r>
              <w:t xml:space="preserve">The Biologist conducted a comprehensive field survey of the coastal wetland ecosystem in the Callao district of Peru Lima. This included biodiversity inventory, water quality sampling at 12 monitoring stations, and documentation of native species present in the area. All data was collected in accordance with MINAM regulations and the National Environmental Management System (SINAIA).</w:t>
            </w:r>
          </w:p>
        </w:tc>
        <w:tc>
          <w:tcPr/>
          <w:p>
            <w:pPr>
              <w:pStyle w:val="Compact"/>
              <w:jc w:val="left"/>
            </w:pPr>
            <w:r>
              <w:t xml:space="preserve">May 05 – May 12, 2025</w:t>
            </w:r>
          </w:p>
        </w:tc>
        <w:tc>
          <w:tcPr/>
          <w:p>
            <w:pPr>
              <w:pStyle w:val="Compact"/>
              <w:jc w:val="left"/>
            </w:pPr>
            <w:r>
              <w:t xml:space="preserve">56</w:t>
            </w:r>
          </w:p>
        </w:tc>
        <w:tc>
          <w:tcPr/>
          <w:p>
            <w:pPr>
              <w:pStyle w:val="Compact"/>
              <w:jc w:val="left"/>
            </w:pPr>
            <w:r>
              <w:t xml:space="preserve">185.00</w:t>
            </w:r>
          </w:p>
        </w:tc>
        <w:tc>
          <w:tcPr/>
          <w:p>
            <w:pPr>
              <w:pStyle w:val="Compact"/>
              <w:jc w:val="left"/>
            </w:pPr>
            <w:r>
              <w:t xml:space="preserve">10,360.00</w:t>
            </w:r>
          </w:p>
        </w:tc>
        <w:tc>
          <w:tcPr/>
          <w:p>
            <w:pPr>
              <w:pStyle w:val="Compact"/>
              <w:jc w:val="left"/>
            </w:pPr>
            <w:r>
              <w:t xml:space="preserve">1,864.80</w:t>
            </w:r>
          </w:p>
        </w:tc>
      </w:tr>
      <w:tr>
        <w:tc>
          <w:tcPr/>
          <w:p>
            <w:pPr>
              <w:pStyle w:val="Compact"/>
              <w:jc w:val="left"/>
            </w:pPr>
            <w:r>
              <w:t xml:space="preserve">02</w:t>
            </w:r>
          </w:p>
        </w:tc>
        <w:tc>
          <w:tcPr/>
          <w:p>
            <w:pPr>
              <w:pStyle w:val="Compact"/>
              <w:jc w:val="left"/>
            </w:pPr>
            <w:r>
              <w:rPr>
                <w:bCs/>
                <w:b/>
              </w:rPr>
              <w:t xml:space="preserve">Ecological Risk Analysis &amp; Mitigation Plan</w:t>
            </w:r>
          </w:p>
          <w:p>
            <w:pPr>
              <w:jc w:val="left"/>
            </w:pPr>
            <w:r>
              <w:t xml:space="preserve">The Biologist prepared a detailed ecological risk analysis report identifying potential threats to local fauna and flora. A mitigation strategy was developed including habitat restoration protocols, buffer zone recommendations, and a 12-month monitoring schedule. This document was submitted to the Environmental Licensing Authority in Peru Lima for regulatory compliance review.</w:t>
            </w:r>
          </w:p>
        </w:tc>
        <w:tc>
          <w:tcPr/>
          <w:p>
            <w:pPr>
              <w:pStyle w:val="Compact"/>
              <w:jc w:val="left"/>
            </w:pPr>
            <w:r>
              <w:t xml:space="preserve">May 19 – May 30, 2025</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c>
          <w:tcPr/>
          <w:p>
            <w:pPr>
              <w:pStyle w:val="Compact"/>
              <w:jc w:val="left"/>
            </w:pPr>
            <w:r>
              <w:t xml:space="preserve">1,598.40</w:t>
            </w:r>
          </w:p>
        </w:tc>
      </w:tr>
      <w:tr>
        <w:tc>
          <w:tcPr/>
          <w:p>
            <w:pPr>
              <w:pStyle w:val="Compact"/>
              <w:jc w:val="left"/>
            </w:pPr>
            <w:r>
              <w:t xml:space="preserve">03</w:t>
            </w:r>
          </w:p>
        </w:tc>
        <w:tc>
          <w:tcPr/>
          <w:p>
            <w:pPr>
              <w:pStyle w:val="Compact"/>
              <w:jc w:val="left"/>
            </w:pPr>
            <w:r>
              <w:rPr>
                <w:bCs/>
                <w:b/>
              </w:rPr>
              <w:t xml:space="preserve">Community Environmental Education Workshop</w:t>
            </w:r>
          </w:p>
          <w:p>
            <w:pPr>
              <w:jc w:val="left"/>
            </w:pPr>
            <w:r>
              <w:t xml:space="preserve">The Biologist designed and delivered a three-day environmental education workshop for 85 local community members in the La Victoria district of Peru Lima. The session covered topics on sustainable resource management, waste segregation, and the importance of preserving urban biodiversity corridors. Materials were provided in both Spanish and Quechua.</w:t>
            </w:r>
          </w:p>
        </w:tc>
        <w:tc>
          <w:tcPr/>
          <w:p>
            <w:pPr>
              <w:pStyle w:val="Compact"/>
              <w:jc w:val="left"/>
            </w:pPr>
            <w:r>
              <w:t xml:space="preserve">June 02 – June 04, 2025</w:t>
            </w:r>
          </w:p>
        </w:tc>
        <w:tc>
          <w:tcPr/>
          <w:p>
            <w:pPr>
              <w:pStyle w:val="Compact"/>
              <w:jc w:val="left"/>
            </w:pPr>
            <w:r>
              <w:t xml:space="preserve">24</w:t>
            </w:r>
          </w:p>
        </w:tc>
        <w:tc>
          <w:tcPr/>
          <w:p>
            <w:pPr>
              <w:pStyle w:val="Compact"/>
              <w:jc w:val="left"/>
            </w:pPr>
            <w:r>
              <w:t xml:space="preserve">165.00</w:t>
            </w:r>
          </w:p>
        </w:tc>
        <w:tc>
          <w:tcPr/>
          <w:p>
            <w:pPr>
              <w:pStyle w:val="Compact"/>
              <w:jc w:val="left"/>
            </w:pPr>
            <w:r>
              <w:t xml:space="preserve">3,960.00</w:t>
            </w:r>
          </w:p>
        </w:tc>
        <w:tc>
          <w:tcPr/>
          <w:p>
            <w:pPr>
              <w:pStyle w:val="Compact"/>
              <w:jc w:val="left"/>
            </w:pPr>
            <w:r>
              <w:t xml:space="preserve">712.80</w:t>
            </w:r>
          </w:p>
        </w:tc>
      </w:tr>
      <w:tr>
        <w:tc>
          <w:tcPr/>
          <w:p>
            <w:pPr>
              <w:pStyle w:val="Compact"/>
              <w:jc w:val="left"/>
            </w:pPr>
            <w:r>
              <w:t xml:space="preserve">04</w:t>
            </w:r>
          </w:p>
        </w:tc>
        <w:tc>
          <w:tcPr/>
          <w:p>
            <w:pPr>
              <w:pStyle w:val="Compact"/>
              <w:jc w:val="left"/>
            </w:pPr>
            <w:r>
              <w:rPr>
                <w:bCs/>
                <w:b/>
              </w:rPr>
              <w:t xml:space="preserve">Final Technical Report &amp; Regulatory Submission</w:t>
            </w:r>
          </w:p>
          <w:p>
            <w:pPr>
              <w:jc w:val="left"/>
            </w:pPr>
            <w:r>
              <w:t xml:space="preserve">The Biologist compiled all field data, laboratory results, and analysis into a 240-page final technical report. This Invoice covers the professional writing, peer review coordination, and formal submission of the Environmental Impact Statement to the Ministry of Environment (MINAM) office in Peru Lima. Includes two (2) printed copies and digital delivery.</w:t>
            </w:r>
          </w:p>
        </w:tc>
        <w:tc>
          <w:tcPr/>
          <w:p>
            <w:pPr>
              <w:pStyle w:val="Compact"/>
              <w:jc w:val="left"/>
            </w:pPr>
            <w:r>
              <w:t xml:space="preserve">June 05 – June 13,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1,332.00</w:t>
            </w:r>
          </w:p>
        </w:tc>
      </w:tr>
      <w:tr>
        <w:tc>
          <w:tcPr/>
          <w:p>
            <w:pPr>
              <w:pStyle w:val="Compact"/>
              <w:jc w:val="left"/>
            </w:pPr>
            <w:r>
              <w:t xml:space="preserve">05</w:t>
            </w:r>
          </w:p>
        </w:tc>
        <w:tc>
          <w:tcPr/>
          <w:p>
            <w:pPr>
              <w:pStyle w:val="Compact"/>
              <w:jc w:val="left"/>
            </w:pPr>
            <w:r>
              <w:rPr>
                <w:bCs/>
                <w:b/>
              </w:rPr>
              <w:t xml:space="preserve">Travel &amp; Field Equipment Expenses</w:t>
            </w:r>
          </w:p>
          <w:p>
            <w:pPr>
              <w:jc w:val="left"/>
            </w:pPr>
            <w:r>
              <w:t xml:space="preserve">Reimbursement for transportation to and from field sites within the Lima metropolitan area, rental of water sampling kits, GPS units, and photographic equipment used during the Biologist's on-site assessments in Peru Lima. All expenses are itemized in Annex A attached to this Invoice.</w:t>
            </w:r>
          </w:p>
        </w:tc>
        <w:tc>
          <w:tcPr/>
          <w:p>
            <w:pPr>
              <w:pStyle w:val="Compact"/>
              <w:jc w:val="left"/>
            </w:pPr>
            <w:r>
              <w:t xml:space="preserve">May 05 – June 13, 2025</w:t>
            </w:r>
          </w:p>
        </w:tc>
        <w:tc>
          <w:tcPr/>
          <w:p>
            <w:pPr>
              <w:pStyle w:val="Compact"/>
              <w:jc w:val="left"/>
            </w:pPr>
            <w:r>
              <w:t xml:space="preserve">—</w:t>
            </w:r>
          </w:p>
        </w:tc>
        <w:tc>
          <w:tcPr/>
          <w:p>
            <w:pPr>
              <w:pStyle w:val="Compact"/>
              <w:jc w:val="left"/>
            </w:pPr>
            <w:r>
              <w:t xml:space="preserve">—</w:t>
            </w:r>
          </w:p>
        </w:tc>
        <w:tc>
          <w:tcPr/>
          <w:p>
            <w:pPr>
              <w:pStyle w:val="Compact"/>
              <w:jc w:val="left"/>
            </w:pPr>
            <w:r>
              <w:t xml:space="preserve">2,340.00</w:t>
            </w:r>
          </w:p>
        </w:tc>
        <w:tc>
          <w:tcPr/>
          <w:p>
            <w:pPr>
              <w:pStyle w:val="Compact"/>
              <w:jc w:val="left"/>
            </w:pPr>
            <w:r>
              <w:t xml:space="preserve">421.20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(PEN)</w:t>
            </w:r>
          </w:p>
        </w:tc>
        <w:tc>
          <w:tcPr/>
          <w:p>
            <w:pPr>
              <w:pStyle w:val="Compact"/>
              <w:jc w:val="right"/>
            </w:pPr>
            <w:r>
              <w:t xml:space="preserve">32,940.00</w:t>
            </w:r>
          </w:p>
        </w:tc>
      </w:tr>
      <w:tr>
        <w:tc>
          <w:tcPr/>
          <w:p>
            <w:pPr>
              <w:pStyle w:val="Compact"/>
              <w:jc w:val="left"/>
            </w:pPr>
            <w:r>
              <w:t xml:space="preserve">IGV 18% (PEN)</w:t>
            </w:r>
          </w:p>
        </w:tc>
        <w:tc>
          <w:tcPr/>
          <w:p>
            <w:pPr>
              <w:pStyle w:val="Compact"/>
              <w:jc w:val="right"/>
            </w:pPr>
            <w:r>
              <w:t xml:space="preserve">5,929.20</w:t>
            </w:r>
          </w:p>
        </w:tc>
      </w:tr>
      <w:tr>
        <w:tc>
          <w:tcPr/>
          <w:p>
            <w:pPr>
              <w:pStyle w:val="Compact"/>
              <w:jc w:val="left"/>
            </w:pPr>
            <w:r>
              <w:t xml:space="preserve">TOTAL DUE (PEN)</w:t>
            </w:r>
          </w:p>
        </w:tc>
        <w:tc>
          <w:tcPr/>
          <w:p>
            <w:pPr>
              <w:pStyle w:val="Compact"/>
              <w:jc w:val="right"/>
            </w:pPr>
            <w:r>
              <w:t xml:space="preserve">38,869.20</w:t>
            </w:r>
          </w:p>
        </w:tc>
      </w:tr>
      <w:tr>
        <w:tc>
          <w:tcPr/>
          <w:p>
            <w:pPr>
              <w:pStyle w:val="Compact"/>
              <w:jc w:val="left"/>
            </w:pPr>
            <w:r>
              <w:t xml:space="preserve">TOTAL DUE (USD approx.)</w:t>
            </w:r>
          </w:p>
        </w:tc>
        <w:tc>
          <w:tcPr/>
          <w:p>
            <w:pPr>
              <w:pStyle w:val="Compact"/>
              <w:jc w:val="right"/>
            </w:pPr>
            <w:r>
              <w:t xml:space="preserve">10,512.47</w:t>
            </w:r>
          </w:p>
        </w:tc>
      </w:tr>
    </w:tbl>
    <w:bookmarkStart w:id="24" w:name="payment-terms-important-notes"/>
    <w:p>
      <w:pPr>
        <w:pStyle w:val="Heading3"/>
      </w:pPr>
      <w:r>
        <w:t xml:space="preserve">Payment Terms &amp; Important Notes</w:t>
      </w:r>
    </w:p>
    <w:p>
      <w:pPr>
        <w:pStyle w:val="FirstParagraph"/>
      </w:pPr>
      <w:r>
        <w:rPr>
          <w:bCs/>
          <w:b/>
        </w:rPr>
        <w:t xml:space="preserve">Payment Method:</w:t>
      </w:r>
      <w:r>
        <w:t xml:space="preserve"> </w:t>
      </w:r>
      <w:r>
        <w:t xml:space="preserve">Bank transfer to BCP Bank, Account No. 191-12345678-0-99, CCI: 002-191-000000000000000000-99. Please reference Invoice No. BCP-2025-00487 in your transfer memo.</w:t>
      </w:r>
    </w:p>
    <w:p>
      <w:pPr>
        <w:pStyle w:val="BodyText"/>
      </w:pPr>
      <w:r>
        <w:rPr>
          <w:bCs/>
          <w:b/>
        </w:rPr>
        <w:t xml:space="preserve">Payment Deadline:</w:t>
      </w:r>
      <w:r>
        <w:t xml:space="preserve"> </w:t>
      </w:r>
      <w:r>
        <w:t xml:space="preserve">This Invoice is payable within thirty (30) calendar days from the date of issue. Late payments will incur a monthly interest rate of 1.5% as stipulated under Peruvian commercial law (Código Civil del Perú, Art. 1231).</w:t>
      </w:r>
    </w:p>
    <w:p>
      <w:pPr>
        <w:pStyle w:val="BodyText"/>
      </w:pPr>
      <w:r>
        <w:rPr>
          <w:bCs/>
          <w:b/>
        </w:rPr>
        <w:t xml:space="preserve">Tax Information:</w:t>
      </w:r>
      <w:r>
        <w:t xml:space="preserve"> </w:t>
      </w:r>
      <w:r>
        <w:t xml:space="preserve">The IGV (Impuesto General a las Ventas) of 18% has been applied in accordance with the Peruvian Tax Code (Código Tributario). This Invoice constitutes a valid fiscal document for tax deduction purposes in Peru Lima.</w:t>
      </w:r>
    </w:p>
    <w:p>
      <w:pPr>
        <w:pStyle w:val="BodyText"/>
      </w:pPr>
      <w:r>
        <w:rPr>
          <w:bCs/>
          <w:b/>
        </w:rPr>
        <w:t xml:space="preserve">Professional Certification:</w:t>
      </w:r>
      <w:r>
        <w:t xml:space="preserve"> </w:t>
      </w:r>
      <w:r>
        <w:t xml:space="preserve">All services rendered by the Biologist, Dra. María Fernanda Quispe Rojas, were performed in full compliance with the Peruvian Environmental Law (Ley General del Ambiente, D.L. 1013) and the regulations of the National Council of Science, Technology and Innovation (CONCYTEC).</w:t>
      </w:r>
    </w:p>
    <w:p>
      <w:pPr>
        <w:pStyle w:val="BodyText"/>
      </w:pPr>
      <w:r>
        <w:rPr>
          <w:bCs/>
          <w:b/>
        </w:rPr>
        <w:t xml:space="preserve">Validity:</w:t>
      </w:r>
      <w:r>
        <w:t xml:space="preserve"> </w:t>
      </w:r>
      <w:r>
        <w:t xml:space="preserve">This Invoice is valid for a period of 90 days from the date of issue. After this period, a new Invoice must be generated. The client is requested to verify all line items and notify BioConsult Peru S.A.C. of any discrepancies within five (5) business days of receipt.</w:t>
      </w:r>
    </w:p>
    <w:p>
      <w:pPr>
        <w:pStyle w:val="BodyText"/>
      </w:pPr>
      <w:r>
        <w:rPr>
          <w:bCs/>
          <w:b/>
        </w:rPr>
        <w:t xml:space="preserve">Confidentiality:</w:t>
      </w:r>
      <w:r>
        <w:t xml:space="preserve"> </w:t>
      </w:r>
      <w:r>
        <w:t xml:space="preserve">All ecological data, species inventories, and environmental assessments contained in the deliverables associated with this Invoice are the exclusive intellectual property of the client and the Biologist. Unauthorized reproduction or distribution is prohibited under Peruvian intellectual property law.</w:t>
      </w:r>
    </w:p>
    <w:bookmarkEnd w:id="24"/>
    <w:p>
      <w:pPr>
        <w:pStyle w:val="BodyText"/>
      </w:pPr>
      <w:r>
        <w:rPr>
          <w:bCs/>
          <w:b/>
        </w:rPr>
        <w:t xml:space="preserve">BioConsult Peru S.A.C.</w:t>
      </w:r>
      <w:r>
        <w:t xml:space="preserve"> </w:t>
      </w:r>
      <w:r>
        <w:t xml:space="preserve">| Av. Javier Prado Este 1250, Of. 804, San Isidro, Peru Lima, 15081, Peru</w:t>
      </w:r>
    </w:p>
    <w:p>
      <w:pPr>
        <w:pStyle w:val="BodyText"/>
      </w:pPr>
      <w:r>
        <w:t xml:space="preserve">RUC: 20601234567 | Tel: +51 1 4567 890 | Email: billing@bioconsultperu.pe</w:t>
      </w:r>
    </w:p>
    <w:p>
      <w:pPr>
        <w:pStyle w:val="BodyText"/>
      </w:pPr>
      <w:r>
        <w:t xml:space="preserve">This Invoice was generated electronically in accordance with SUNAT (Superintendencia Nacional de Aduanas y de Administración Tributaria) regulations for electronic billing in Peru Lima. Document ID: BCP-2025-00487 | Generated: 2025-06-15 14:32:00 -05:00</w:t>
      </w:r>
    </w:p>
    <w:p>
      <w:pPr>
        <w:pStyle w:val="BodyText"/>
      </w:pPr>
      <w:r>
        <w:t xml:space="preserve">Thank you for choosing our Biologist services. We are committed to delivering the highest standard of environmental science and ecological consulting in Peru Lima and throughout the Peruvian Republic.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Peru Lima</dc:title>
  <dc:creator/>
  <dc:language>en</dc:language>
  <cp:keywords/>
  <dcterms:created xsi:type="dcterms:W3CDTF">2026-10-10T02:16:38Z</dcterms:created>
  <dcterms:modified xsi:type="dcterms:W3CDTF">2026-10-10T02:16:38Z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