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Biomedical</w:t>
      </w:r>
      <w:r>
        <w:t xml:space="preserve"> </w:t>
      </w:r>
      <w:r>
        <w:t xml:space="preserve">Engineering</w:t>
      </w:r>
      <w:r>
        <w:t xml:space="preserve"> </w:t>
      </w:r>
      <w:r>
        <w:t xml:space="preserve">Services</w:t>
      </w:r>
    </w:p>
    <w:bookmarkStart w:id="20" w:name="medtech-solutions-s.a."/>
    <w:p>
      <w:pPr>
        <w:pStyle w:val="Heading1"/>
      </w:pPr>
      <w:r>
        <w:t xml:space="preserve">MedTech Solutions S.A.</w:t>
      </w:r>
    </w:p>
    <w:p>
      <w:pPr>
        <w:pStyle w:val="FirstParagraph"/>
      </w:pPr>
      <w:r>
        <w:t xml:space="preserve">Advanced Biomedical Engineering Services</w:t>
      </w:r>
    </w:p>
    <w:p>
      <w:pPr>
        <w:pStyle w:val="BodyText"/>
      </w:pPr>
      <w:r>
        <w:t xml:space="preserve">Av. Paulista, 1000, Bela Vista</w:t>
      </w:r>
    </w:p>
    <w:p>
      <w:pPr>
        <w:pStyle w:val="BodyText"/>
      </w:pPr>
      <w:r>
        <w:t xml:space="preserve">São Paulo - SP, 01310-100, Brazil</w:t>
      </w:r>
    </w:p>
    <w:p>
      <w:pPr>
        <w:pStyle w:val="BodyText"/>
      </w:pPr>
      <w:r>
        <w:t xml:space="preserve">CNPJ: 12.345.678/0001-90</w:t>
      </w:r>
    </w:p>
    <w:p>
      <w:pPr>
        <w:pStyle w:val="BodyText"/>
      </w:pPr>
      <w:r>
        <w:t xml:space="preserve">Email: billing@medtechsolutions.com.br</w:t>
      </w:r>
    </w:p>
    <w:p>
      <w:pPr>
        <w:pStyle w:val="BodyText"/>
      </w:pPr>
      <w:r>
        <w:t xml:space="preserve">Phone: +55 (11) 3456-7890</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INV-2023-SP-0892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Alphaville General Hospital</w:t>
      </w:r>
    </w:p>
    <w:p>
      <w:pPr>
        <w:pStyle w:val="BodyText"/>
      </w:pPr>
      <w:r>
        <w:t xml:space="preserve">Attn: Procurement Department / Dr. Ricardo Mendes</w:t>
      </w:r>
    </w:p>
    <w:p>
      <w:pPr>
        <w:pStyle w:val="BodyText"/>
      </w:pPr>
      <w:r>
        <w:t xml:space="preserve">Rua das Palmeiras, 500, Alphaville</w:t>
      </w:r>
    </w:p>
    <w:p>
      <w:pPr>
        <w:pStyle w:val="BodyText"/>
      </w:pPr>
      <w:r>
        <w:t xml:space="preserve">Barueri - SP, 06454-000, Brazil</w:t>
      </w:r>
    </w:p>
    <w:p>
      <w:pPr>
        <w:pStyle w:val="BodyText"/>
      </w:pPr>
      <w:r>
        <w:t xml:space="preserve">CNPJ: 98.765.432/0001-10</w:t>
      </w:r>
    </w:p>
    <w:p>
      <w:pPr>
        <w:pStyle w:val="BodyText"/>
      </w:pPr>
      <w:r>
        <w:t xml:space="preserve">IE: 123.456.789.012</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Biomedical Engineering Services</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1</w:t>
            </w:r>
          </w:p>
        </w:tc>
        <w:tc>
          <w:tcPr/>
          <w:p>
            <w:pPr>
              <w:pStyle w:val="Compact"/>
              <w:jc w:val="left"/>
            </w:pPr>
            <w:r>
              <w:rPr>
                <w:bCs/>
                <w:b/>
              </w:rPr>
              <w:t xml:space="preserve">Preventive Maintenance of MRI Unit (Siemens Magnetom)</w:t>
            </w:r>
            <w:r>
              <w:br/>
            </w:r>
            <w:r>
              <w:t xml:space="preserve">Comprehensive inspection and calibration of the magnetic resonance imaging system located in the Radiology Wing. Services include gradient coil testing, RF system calibration, cryogen level verification, and safety interlock checks in accordance with ANVISA regulations and manufacturer specifications.</w:t>
            </w:r>
          </w:p>
        </w:tc>
        <w:tc>
          <w:tcPr/>
          <w:p>
            <w:pPr>
              <w:pStyle w:val="Compact"/>
              <w:jc w:val="left"/>
            </w:pPr>
            <w:r>
              <w:t xml:space="preserve">1</w:t>
            </w:r>
          </w:p>
        </w:tc>
        <w:tc>
          <w:tcPr/>
          <w:p>
            <w:pPr>
              <w:pStyle w:val="Compact"/>
              <w:jc w:val="left"/>
            </w:pPr>
            <w:r>
              <w:t xml:space="preserve">R$ 8.500,00</w:t>
            </w:r>
          </w:p>
        </w:tc>
        <w:tc>
          <w:tcPr/>
          <w:p>
            <w:pPr>
              <w:pStyle w:val="Compact"/>
              <w:jc w:val="left"/>
            </w:pPr>
            <w:r>
              <w:t xml:space="preserve">R$ 8.500,00</w:t>
            </w:r>
          </w:p>
        </w:tc>
      </w:tr>
      <w:tr>
        <w:tc>
          <w:tcPr/>
          <w:p>
            <w:pPr>
              <w:pStyle w:val="Compact"/>
              <w:jc w:val="left"/>
            </w:pPr>
            <w:r>
              <w:t xml:space="preserve">2</w:t>
            </w:r>
          </w:p>
        </w:tc>
        <w:tc>
          <w:tcPr/>
          <w:p>
            <w:pPr>
              <w:pStyle w:val="Compact"/>
              <w:jc w:val="left"/>
            </w:pPr>
            <w:r>
              <w:rPr>
                <w:bCs/>
                <w:b/>
              </w:rPr>
              <w:t xml:space="preserve">Calibration of Patient Monitoring Systems (ICU)</w:t>
            </w:r>
            <w:r>
              <w:br/>
            </w:r>
            <w:r>
              <w:t xml:space="preserve">On-site calibration and functional testing of 15 multi-parameter patient monitors in the Intensive Care Unit. Verification of ECG, SpO2, NIBP, and temperature modules against certified reference standards. Issuance of individual calibration certificates for each device.</w:t>
            </w:r>
          </w:p>
        </w:tc>
        <w:tc>
          <w:tcPr/>
          <w:p>
            <w:pPr>
              <w:pStyle w:val="Compact"/>
              <w:jc w:val="left"/>
            </w:pPr>
            <w:r>
              <w:t xml:space="preserve">15</w:t>
            </w:r>
          </w:p>
        </w:tc>
        <w:tc>
          <w:tcPr/>
          <w:p>
            <w:pPr>
              <w:pStyle w:val="Compact"/>
              <w:jc w:val="left"/>
            </w:pPr>
            <w:r>
              <w:t xml:space="preserve">R$ 450,00</w:t>
            </w:r>
          </w:p>
        </w:tc>
        <w:tc>
          <w:tcPr/>
          <w:p>
            <w:pPr>
              <w:pStyle w:val="Compact"/>
              <w:jc w:val="left"/>
            </w:pPr>
            <w:r>
              <w:t xml:space="preserve">R$ 6.750,00</w:t>
            </w:r>
          </w:p>
        </w:tc>
      </w:tr>
      <w:tr>
        <w:tc>
          <w:tcPr/>
          <w:p>
            <w:pPr>
              <w:pStyle w:val="Compact"/>
              <w:jc w:val="left"/>
            </w:pPr>
            <w:r>
              <w:t xml:space="preserve">3</w:t>
            </w:r>
          </w:p>
        </w:tc>
        <w:tc>
          <w:tcPr/>
          <w:p>
            <w:pPr>
              <w:pStyle w:val="Compact"/>
              <w:jc w:val="left"/>
            </w:pPr>
            <w:r>
              <w:rPr>
                <w:bCs/>
                <w:b/>
              </w:rPr>
              <w:t xml:space="preserve">Electrical Safety Testing (RMS)</w:t>
            </w:r>
            <w:r>
              <w:br/>
            </w:r>
            <w:r>
              <w:t xml:space="preserve">Routine Maintenance Service (RMS) electrical safety testing for 20 surgical lights and anesthesia workstations. Leakage current measurement, insulation resistance testing, and grounding continuity verification to ensure compliance with NBR IEC 60601-1 standards.</w:t>
            </w:r>
          </w:p>
        </w:tc>
        <w:tc>
          <w:tcPr/>
          <w:p>
            <w:pPr>
              <w:pStyle w:val="Compact"/>
              <w:jc w:val="left"/>
            </w:pPr>
            <w:r>
              <w:t xml:space="preserve">20</w:t>
            </w:r>
          </w:p>
        </w:tc>
        <w:tc>
          <w:tcPr/>
          <w:p>
            <w:pPr>
              <w:pStyle w:val="Compact"/>
              <w:jc w:val="left"/>
            </w:pPr>
            <w:r>
              <w:t xml:space="preserve">R$ 300,00</w:t>
            </w:r>
          </w:p>
        </w:tc>
        <w:tc>
          <w:tcPr/>
          <w:p>
            <w:pPr>
              <w:pStyle w:val="Compact"/>
              <w:jc w:val="left"/>
            </w:pPr>
            <w:r>
              <w:t xml:space="preserve">R$ 6.000,00</w:t>
            </w:r>
          </w:p>
        </w:tc>
      </w:tr>
      <w:tr>
        <w:tc>
          <w:tcPr/>
          <w:p>
            <w:pPr>
              <w:pStyle w:val="Compact"/>
              <w:jc w:val="left"/>
            </w:pPr>
            <w:r>
              <w:t xml:space="preserve">4</w:t>
            </w:r>
          </w:p>
        </w:tc>
        <w:tc>
          <w:tcPr/>
          <w:p>
            <w:pPr>
              <w:pStyle w:val="Compact"/>
              <w:jc w:val="left"/>
            </w:pPr>
            <w:r>
              <w:rPr>
                <w:bCs/>
                <w:b/>
              </w:rPr>
              <w:t xml:space="preserve">Biomedical Engineering Consultation &amp; Asset Management</w:t>
            </w:r>
            <w:r>
              <w:br/>
            </w:r>
            <w:r>
              <w:t xml:space="preserve">Strategic consulting session for the hospital's biomedical department. Includes review of current equipment lifecycle management, analysis of repair vs. replace scenarios for aging ventilators, and optimization of spare parts inventory to reduce downtime in critical care areas.</w:t>
            </w:r>
          </w:p>
        </w:tc>
        <w:tc>
          <w:tcPr/>
          <w:p>
            <w:pPr>
              <w:pStyle w:val="Compact"/>
              <w:jc w:val="left"/>
            </w:pPr>
            <w:r>
              <w:t xml:space="preserve">8</w:t>
            </w:r>
          </w:p>
        </w:tc>
        <w:tc>
          <w:tcPr/>
          <w:p>
            <w:pPr>
              <w:pStyle w:val="Compact"/>
              <w:jc w:val="left"/>
            </w:pPr>
            <w:r>
              <w:t xml:space="preserve">R$ 600,00</w:t>
            </w:r>
          </w:p>
        </w:tc>
        <w:tc>
          <w:tcPr/>
          <w:p>
            <w:pPr>
              <w:pStyle w:val="Compact"/>
              <w:jc w:val="left"/>
            </w:pPr>
            <w:r>
              <w:t xml:space="preserve">R$ 4.800,00</w:t>
            </w:r>
          </w:p>
        </w:tc>
      </w:tr>
      <w:tr>
        <w:tc>
          <w:tcPr/>
          <w:p>
            <w:pPr>
              <w:pStyle w:val="Compact"/>
              <w:jc w:val="left"/>
            </w:pPr>
            <w:r>
              <w:t xml:space="preserve">5</w:t>
            </w:r>
          </w:p>
        </w:tc>
        <w:tc>
          <w:tcPr/>
          <w:p>
            <w:pPr>
              <w:pStyle w:val="Compact"/>
              <w:jc w:val="left"/>
            </w:pPr>
            <w:r>
              <w:rPr>
                <w:bCs/>
                <w:b/>
              </w:rPr>
              <w:t xml:space="preserve">Emergency Repair: Defibrillator/Monitor</w:t>
            </w:r>
            <w:r>
              <w:br/>
            </w:r>
            <w:r>
              <w:t xml:space="preserve">Urgent troubleshooting and repair of a defibrillator unit in the Emergency Room. Replacement of the main control board and rechargeable battery pack. Post-repair validation testing performed to ensure shock delivery accuracy and monitoring functionality.</w:t>
            </w:r>
          </w:p>
        </w:tc>
        <w:tc>
          <w:tcPr/>
          <w:p>
            <w:pPr>
              <w:pStyle w:val="Compact"/>
              <w:jc w:val="left"/>
            </w:pPr>
            <w:r>
              <w:t xml:space="preserve">1</w:t>
            </w:r>
          </w:p>
        </w:tc>
        <w:tc>
          <w:tcPr/>
          <w:p>
            <w:pPr>
              <w:pStyle w:val="Compact"/>
              <w:jc w:val="left"/>
            </w:pPr>
            <w:r>
              <w:t xml:space="preserve">R$ 2.200,00</w:t>
            </w:r>
          </w:p>
        </w:tc>
        <w:tc>
          <w:tcPr/>
          <w:p>
            <w:pPr>
              <w:pStyle w:val="Compact"/>
              <w:jc w:val="left"/>
            </w:pPr>
            <w:r>
              <w:t xml:space="preserve">R$ 2.200,00</w:t>
            </w:r>
          </w:p>
        </w:tc>
      </w:tr>
    </w:tbl>
    <w:p>
      <w:pPr>
        <w:pStyle w:val="BodyText"/>
      </w:pPr>
      <w:r>
        <w:t xml:space="preserve">Subtotal:</w:t>
      </w:r>
      <w:r>
        <w:t xml:space="preserve"> </w:t>
      </w:r>
      <w:r>
        <w:t xml:space="preserve">R$ 28.250,00</w:t>
      </w:r>
    </w:p>
    <w:p>
      <w:pPr>
        <w:pStyle w:val="BodyText"/>
      </w:pPr>
      <w:r>
        <w:t xml:space="preserve">ICMS (18% - São Paulo State Tax):</w:t>
      </w:r>
      <w:r>
        <w:t xml:space="preserve"> </w:t>
      </w:r>
      <w:r>
        <w:t xml:space="preserve">R$ 5.085,00</w:t>
      </w:r>
    </w:p>
    <w:p>
      <w:pPr>
        <w:pStyle w:val="BodyText"/>
      </w:pPr>
      <w:r>
        <w:t xml:space="preserve">PIS/COFINS:</w:t>
      </w:r>
      <w:r>
        <w:t xml:space="preserve"> </w:t>
      </w:r>
      <w:r>
        <w:t xml:space="preserve">R$ 1.412,50</w:t>
      </w:r>
    </w:p>
    <w:p>
      <w:pPr>
        <w:pStyle w:val="BodyText"/>
      </w:pPr>
      <w:r>
        <w:t xml:space="preserve">TOTAL DUE:</w:t>
      </w:r>
      <w:r>
        <w:t xml:space="preserve"> </w:t>
      </w:r>
      <w:r>
        <w:t xml:space="preserve">R$ 34.747,50</w:t>
      </w:r>
    </w:p>
    <w:bookmarkStart w:id="23" w:name="X4574419339fd10e8fbe7cac68780d83f55c2c15"/>
    <w:p>
      <w:pPr>
        <w:pStyle w:val="Heading4"/>
      </w:pPr>
      <w:r>
        <w:t xml:space="preserve">Terms, Conditions, and Regulatory Compliance:</w:t>
      </w:r>
    </w:p>
    <w:p>
      <w:pPr>
        <w:pStyle w:val="FirstParagraph"/>
      </w:pPr>
      <w:r>
        <w:t xml:space="preserve">This invoice represents professional services rendered by a certified Biomedical Engineer team operating under the jurisdiction of the Federal Council of Engineering and Agronomy (CONFEA) and the Regional Council of Engineering and Agronomy of São Paulo (CREA-SP). All maintenance and calibration services described herein have been performed in strict accordance with the technical standards established by the National Health Surveillance Agency (ANVISA) and the relevant NBR IEC 60601 series standards for medical electrical equipment safety.</w:t>
      </w:r>
    </w:p>
    <w:p>
      <w:pPr>
        <w:pStyle w:val="BodyText"/>
      </w:pPr>
      <w:r>
        <w:t xml:space="preserve">Payment is due within 30 days of the invoice date. Late payments will incur a penalty of 2% plus interest of 1% per month. This invoice is valid for tax deduction purposes in Brazil. Please retain this document for your financial records and regulatory audits. Any discrepancies regarding the services provided must be reported within 5 business days of receipt.</w:t>
      </w:r>
    </w:p>
    <w:bookmarkEnd w:id="23"/>
    <w:bookmarkStart w:id="24" w:name="Xdeff3628b97224648783515f693eecc44ee9511"/>
    <w:p>
      <w:pPr>
        <w:pStyle w:val="Heading4"/>
      </w:pPr>
      <w:r>
        <w:t xml:space="preserve">Payment Instructions (Boleto Bancário / Transfer):</w:t>
      </w:r>
    </w:p>
    <w:p>
      <w:pPr>
        <w:pStyle w:val="FirstParagraph"/>
      </w:pPr>
      <w:r>
        <w:rPr>
          <w:bCs/>
          <w:b/>
        </w:rPr>
        <w:t xml:space="preserve">Bank:</w:t>
      </w:r>
      <w:r>
        <w:t xml:space="preserve"> </w:t>
      </w:r>
      <w:r>
        <w:t xml:space="preserve">Banco do Brasil S.A.</w:t>
      </w:r>
    </w:p>
    <w:p>
      <w:pPr>
        <w:pStyle w:val="BodyText"/>
      </w:pPr>
      <w:r>
        <w:rPr>
          <w:bCs/>
          <w:b/>
        </w:rPr>
        <w:t xml:space="preserve">Agency:</w:t>
      </w:r>
      <w:r>
        <w:t xml:space="preserve"> </w:t>
      </w:r>
      <w:r>
        <w:t xml:space="preserve">1234-5</w:t>
      </w:r>
    </w:p>
    <w:p>
      <w:pPr>
        <w:pStyle w:val="BodyText"/>
      </w:pPr>
      <w:r>
        <w:rPr>
          <w:bCs/>
          <w:b/>
        </w:rPr>
        <w:t xml:space="preserve">Account Number:</w:t>
      </w:r>
      <w:r>
        <w:t xml:space="preserve"> </w:t>
      </w:r>
      <w:r>
        <w:t xml:space="preserve">98765-4</w:t>
      </w:r>
    </w:p>
    <w:p>
      <w:pPr>
        <w:pStyle w:val="BodyText"/>
      </w:pPr>
      <w:r>
        <w:rPr>
          <w:bCs/>
          <w:b/>
        </w:rPr>
        <w:t xml:space="preserve">Account Type:</w:t>
      </w:r>
      <w:r>
        <w:t xml:space="preserve"> </w:t>
      </w:r>
      <w:r>
        <w:t xml:space="preserve">Checking (Corrente)</w:t>
      </w:r>
    </w:p>
    <w:p>
      <w:pPr>
        <w:pStyle w:val="BodyText"/>
      </w:pPr>
      <w:r>
        <w:rPr>
          <w:bCs/>
          <w:b/>
        </w:rPr>
        <w:t xml:space="preserve">Beneficiary:</w:t>
      </w:r>
      <w:r>
        <w:t xml:space="preserve"> </w:t>
      </w:r>
      <w:r>
        <w:t xml:space="preserve">MedTech Solutions S.A.</w:t>
      </w:r>
    </w:p>
    <w:p>
      <w:pPr>
        <w:pStyle w:val="BodyText"/>
      </w:pPr>
      <w:r>
        <w:rPr>
          <w:bCs/>
          <w:b/>
        </w:rPr>
        <w:t xml:space="preserve">CNPJ:</w:t>
      </w:r>
      <w:r>
        <w:t xml:space="preserve"> </w:t>
      </w:r>
      <w:r>
        <w:t xml:space="preserve">12.345.678/0001-90</w:t>
      </w:r>
    </w:p>
    <w:p>
      <w:pPr>
        <w:pStyle w:val="BodyText"/>
      </w:pPr>
      <w:r>
        <w:rPr>
          <w:bCs/>
          <w:b/>
        </w:rPr>
        <w:t xml:space="preserve">PIX Key:</w:t>
      </w:r>
      <w:r>
        <w:t xml:space="preserve"> </w:t>
      </w:r>
      <w:r>
        <w:t xml:space="preserve">billing@medtechsolutions.com.br</w:t>
      </w:r>
    </w:p>
    <w:p>
      <w:pPr>
        <w:pStyle w:val="BodyText"/>
      </w:pPr>
      <w:r>
        <w:rPr>
          <w:iCs/>
          <w:i/>
        </w:rPr>
        <w:t xml:space="preserve">Please quote Invoice Number INV-2023-SP-0892 in the payment description.</w:t>
      </w:r>
    </w:p>
    <w:bookmarkEnd w:id="24"/>
    <w:p>
      <w:pPr>
        <w:pStyle w:val="BodyText"/>
      </w:pPr>
      <w:r>
        <w:rPr>
          <w:bCs/>
          <w:b/>
        </w:rPr>
        <w:t xml:space="preserve">Authorized Signature</w:t>
      </w:r>
    </w:p>
    <w:p>
      <w:pPr>
        <w:pStyle w:val="BodyText"/>
      </w:pPr>
      <w:r>
        <w:t xml:space="preserve">Carlos Eduardo Silva</w:t>
      </w:r>
    </w:p>
    <w:p>
      <w:pPr>
        <w:pStyle w:val="BodyText"/>
      </w:pPr>
      <w:r>
        <w:t xml:space="preserve">Lead Biomedical Engineer</w:t>
      </w:r>
    </w:p>
    <w:p>
      <w:pPr>
        <w:pStyle w:val="BodyText"/>
      </w:pPr>
      <w:r>
        <w:t xml:space="preserve">CREA-SP: 123456-D</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p>
      <w:pPr>
        <w:pStyle w:val="BodyText"/>
      </w:pPr>
      <w:r>
        <w:t xml:space="preserve">MedTech Solutions S.A. | Av. Paulista, 1000, São Paulo - SP, Brazil | CNPJ: 12.345.678/0001-90</w:t>
      </w:r>
    </w:p>
    <w:p>
      <w:pPr>
        <w:pStyle w:val="BodyText"/>
      </w:pPr>
      <w:r>
        <w:t xml:space="preserve">This is an official electronic invoice generated in compliance with Brazilian tax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Biomedical Engineering Services</dc:title>
  <dc:creator/>
  <dc:language>en</dc:language>
  <cp:keywords/>
  <dcterms:created xsi:type="dcterms:W3CDTF">2026-10-10T04:24:11Z</dcterms:created>
  <dcterms:modified xsi:type="dcterms:W3CDTF">2026-10-10T04:24:11Z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