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Biomedical</w:t>
      </w:r>
      <w:r>
        <w:t xml:space="preserve"> </w:t>
      </w:r>
      <w:r>
        <w:t xml:space="preserve">Engineering</w:t>
      </w:r>
      <w:r>
        <w:t xml:space="preserve"> </w:t>
      </w:r>
      <w:r>
        <w:t xml:space="preserve">Services</w:t>
      </w:r>
    </w:p>
    <w:bookmarkStart w:id="20" w:name="medtech-solutions-s.a.s."/>
    <w:p>
      <w:pPr>
        <w:pStyle w:val="Heading1"/>
      </w:pPr>
      <w:r>
        <w:t xml:space="preserve">MedTech Solutions S.A.S.</w:t>
      </w:r>
    </w:p>
    <w:p>
      <w:pPr>
        <w:pStyle w:val="FirstParagraph"/>
      </w:pPr>
      <w:r>
        <w:rPr>
          <w:bCs/>
          <w:b/>
        </w:rPr>
        <w:t xml:space="preserve">Biomedical Engineering &amp; Clinical Technology Services</w:t>
      </w:r>
    </w:p>
    <w:p>
      <w:pPr>
        <w:pStyle w:val="BodyText"/>
      </w:pPr>
      <w:r>
        <w:t xml:space="preserve">NIT: 901.234.567-8</w:t>
      </w:r>
    </w:p>
    <w:p>
      <w:pPr>
        <w:pStyle w:val="BodyText"/>
      </w:pPr>
      <w:r>
        <w:t xml:space="preserve">Address: Calle 50 #33-12, Oficina 405, El Poblado</w:t>
      </w:r>
    </w:p>
    <w:p>
      <w:pPr>
        <w:pStyle w:val="BodyText"/>
      </w:pPr>
      <w:r>
        <w:t xml:space="preserve">Medellín, Antioquia, Colombia</w:t>
      </w:r>
    </w:p>
    <w:p>
      <w:pPr>
        <w:pStyle w:val="BodyText"/>
      </w:pPr>
      <w:r>
        <w:t xml:space="preserve">Email: billing@medtechmedellin.com.co</w:t>
      </w:r>
    </w:p>
    <w:p>
      <w:pPr>
        <w:pStyle w:val="BodyText"/>
      </w:pPr>
      <w:r>
        <w:t xml:space="preserve">Phone: +57 (4) 444-5555</w:t>
      </w:r>
    </w:p>
    <w:bookmarkEnd w:id="20"/>
    <w:bookmarkStart w:id="21" w:name="invoice"/>
    <w:p>
      <w:pPr>
        <w:pStyle w:val="Heading2"/>
      </w:pPr>
      <w:r>
        <w:t xml:space="preserve">INVOICE</w:t>
      </w:r>
    </w:p>
    <w:p>
      <w:pPr>
        <w:pStyle w:val="FirstParagraph"/>
      </w:pPr>
      <w:r>
        <w:t xml:space="preserve">Invoice #: INV-2023-10-045</w:t>
      </w:r>
    </w:p>
    <w:p>
      <w:pPr>
        <w:pStyle w:val="BodyText"/>
      </w:pPr>
      <w:r>
        <w:t xml:space="preserve">Date: October 24, 2023</w:t>
      </w:r>
    </w:p>
    <w:p>
      <w:pPr>
        <w:pStyle w:val="BodyText"/>
      </w:pPr>
      <w:r>
        <w:t xml:space="preserve">Due Date: November 24, 2023</w:t>
      </w:r>
    </w:p>
    <w:p>
      <w:pPr>
        <w:pStyle w:val="BodyText"/>
      </w:pPr>
      <w:r>
        <w:t xml:space="preserve">Payment Terms: Net 30 Days</w:t>
      </w:r>
    </w:p>
    <w:bookmarkEnd w:id="21"/>
    <w:bookmarkStart w:id="22" w:name="bill-to"/>
    <w:p>
      <w:pPr>
        <w:pStyle w:val="Heading3"/>
      </w:pPr>
      <w:r>
        <w:t xml:space="preserve">Bill To:</w:t>
      </w:r>
    </w:p>
    <w:p>
      <w:pPr>
        <w:pStyle w:val="FirstParagraph"/>
      </w:pPr>
      <w:r>
        <w:rPr>
          <w:bCs/>
          <w:b/>
        </w:rPr>
        <w:t xml:space="preserve">Clínica de la Salud del Valle</w:t>
      </w:r>
    </w:p>
    <w:p>
      <w:pPr>
        <w:pStyle w:val="BodyText"/>
      </w:pPr>
      <w:r>
        <w:t xml:space="preserve">NIT: 800.987.654-3</w:t>
      </w:r>
    </w:p>
    <w:p>
      <w:pPr>
        <w:pStyle w:val="BodyText"/>
      </w:pPr>
      <w:r>
        <w:t xml:space="preserve">Attn: Dr. Carlos Mendoza, Director of Operations</w:t>
      </w:r>
    </w:p>
    <w:p>
      <w:pPr>
        <w:pStyle w:val="BodyText"/>
      </w:pPr>
      <w:r>
        <w:t xml:space="preserve">Address: Carrera 43A #10-45, Barrio Laureles</w:t>
      </w:r>
    </w:p>
    <w:p>
      <w:pPr>
        <w:pStyle w:val="BodyText"/>
      </w:pPr>
      <w:r>
        <w:t xml:space="preserve">Medellín, Antioquia, Colombia</w:t>
      </w:r>
    </w:p>
    <w:p>
      <w:pPr>
        <w:pStyle w:val="BodyText"/>
      </w:pPr>
      <w:r>
        <w:t xml:space="preserve">Email: compras@clinicasaludvalle.com</w:t>
      </w:r>
    </w:p>
    <w:bookmarkEnd w:id="22"/>
    <w:bookmarkStart w:id="23" w:name="X1b26373c0a2d1053ca36bbe82da5fb0590c794b"/>
    <w:p>
      <w:pPr>
        <w:pStyle w:val="Heading3"/>
      </w:pPr>
      <w:r>
        <w:t xml:space="preserve">Project Scope: Comprehensive Biomedical Equipment Maintenance &amp; Calibration</w:t>
      </w:r>
    </w:p>
    <w:p>
      <w:pPr>
        <w:pStyle w:val="FirstParagraph"/>
      </w:pPr>
      <w:r>
        <w:t xml:space="preserve">This invoice covers the professional services rendered by our team of certified Biomedical Engineers in accordance with the technical standards established by the Ministry of Health and Protection Social of Colombia. The scope of work was executed at your facility in Medellín, Antioquia, focusing on the preventive maintenance, calibration, and safety testing of critical medical devices to ensure patient safety and regulatory compliance.</w:t>
      </w:r>
    </w:p>
    <w:p>
      <w:pPr>
        <w:pStyle w:val="BodyText"/>
      </w:pPr>
      <w:r>
        <w:t xml:space="preserve">Our engineers performed detailed inspections on anesthesia machines, patient monitors, infusion pumps, and defibrillators. All procedures followed the ISO 13485 quality management standards and local Colombian regulations regarding medical technology management. Detailed technical reports for each device have been submitted separately via our secure portal.</w:t>
      </w:r>
    </w:p>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rPr>
                <w:bCs/>
                <w:b/>
              </w:rPr>
              <w:t xml:space="preserve">Preventive Maintenance &amp; Calibration of Patient Monitors</w:t>
            </w:r>
            <w:r>
              <w:br/>
            </w:r>
            <w:r>
              <w:t xml:space="preserve">Includes electrical safety testing, sensor calibration, and software updates for 15 units.</w:t>
            </w:r>
          </w:p>
        </w:tc>
        <w:tc>
          <w:tcPr/>
          <w:p>
            <w:pPr>
              <w:pStyle w:val="Compact"/>
              <w:jc w:val="left"/>
            </w:pPr>
            <w:r>
              <w:t xml:space="preserve">15</w:t>
            </w:r>
          </w:p>
        </w:tc>
        <w:tc>
          <w:tcPr/>
          <w:p>
            <w:pPr>
              <w:pStyle w:val="Compact"/>
              <w:jc w:val="left"/>
            </w:pPr>
            <w:r>
              <w:t xml:space="preserve">450,000</w:t>
            </w:r>
          </w:p>
        </w:tc>
        <w:tc>
          <w:tcPr/>
          <w:p>
            <w:pPr>
              <w:pStyle w:val="Compact"/>
              <w:jc w:val="left"/>
            </w:pPr>
            <w:r>
              <w:t xml:space="preserve">6,750,000</w:t>
            </w:r>
          </w:p>
        </w:tc>
      </w:tr>
      <w:tr>
        <w:tc>
          <w:tcPr/>
          <w:p>
            <w:pPr>
              <w:pStyle w:val="Compact"/>
              <w:jc w:val="left"/>
            </w:pPr>
            <w:r>
              <w:rPr>
                <w:bCs/>
                <w:b/>
              </w:rPr>
              <w:t xml:space="preserve">Biomedical Safety Inspection of Anesthesia Workstations</w:t>
            </w:r>
            <w:r>
              <w:br/>
            </w:r>
            <w:r>
              <w:t xml:space="preserve">Leak testing, gas flow calibration, and alarm verification for 5 units.</w:t>
            </w:r>
          </w:p>
        </w:tc>
        <w:tc>
          <w:tcPr/>
          <w:p>
            <w:pPr>
              <w:pStyle w:val="Compact"/>
              <w:jc w:val="left"/>
            </w:pPr>
            <w:r>
              <w:t xml:space="preserve">5</w:t>
            </w:r>
          </w:p>
        </w:tc>
        <w:tc>
          <w:tcPr/>
          <w:p>
            <w:pPr>
              <w:pStyle w:val="Compact"/>
              <w:jc w:val="left"/>
            </w:pPr>
            <w:r>
              <w:t xml:space="preserve">850,000</w:t>
            </w:r>
          </w:p>
        </w:tc>
        <w:tc>
          <w:tcPr/>
          <w:p>
            <w:pPr>
              <w:pStyle w:val="Compact"/>
              <w:jc w:val="left"/>
            </w:pPr>
            <w:r>
              <w:t xml:space="preserve">4,250,000</w:t>
            </w:r>
          </w:p>
        </w:tc>
      </w:tr>
      <w:tr>
        <w:tc>
          <w:tcPr/>
          <w:p>
            <w:pPr>
              <w:pStyle w:val="Compact"/>
              <w:jc w:val="left"/>
            </w:pPr>
            <w:r>
              <w:rPr>
                <w:bCs/>
                <w:b/>
              </w:rPr>
              <w:t xml:space="preserve">Calibration of Infusion Pumps &amp; Syringe Drivers</w:t>
            </w:r>
            <w:r>
              <w:br/>
            </w:r>
            <w:r>
              <w:t xml:space="preserve">Flow rate accuracy testing and occlusion alarm verification for 20 units.</w:t>
            </w:r>
          </w:p>
        </w:tc>
        <w:tc>
          <w:tcPr/>
          <w:p>
            <w:pPr>
              <w:pStyle w:val="Compact"/>
              <w:jc w:val="left"/>
            </w:pPr>
            <w:r>
              <w:t xml:space="preserve">20</w:t>
            </w:r>
          </w:p>
        </w:tc>
        <w:tc>
          <w:tcPr/>
          <w:p>
            <w:pPr>
              <w:pStyle w:val="Compact"/>
              <w:jc w:val="left"/>
            </w:pPr>
            <w:r>
              <w:t xml:space="preserve">300,000</w:t>
            </w:r>
          </w:p>
        </w:tc>
        <w:tc>
          <w:tcPr/>
          <w:p>
            <w:pPr>
              <w:pStyle w:val="Compact"/>
              <w:jc w:val="left"/>
            </w:pPr>
            <w:r>
              <w:t xml:space="preserve">6,000,000</w:t>
            </w:r>
          </w:p>
        </w:tc>
      </w:tr>
      <w:tr>
        <w:tc>
          <w:tcPr/>
          <w:p>
            <w:pPr>
              <w:pStyle w:val="Compact"/>
              <w:jc w:val="left"/>
            </w:pPr>
            <w:r>
              <w:rPr>
                <w:bCs/>
                <w:b/>
              </w:rPr>
              <w:t xml:space="preserve">Defibrillator &amp; Pacemaker Analyzer Testing</w:t>
            </w:r>
            <w:r>
              <w:br/>
            </w:r>
            <w:r>
              <w:t xml:space="preserve">Energy output verification and battery integrity checks for 3 units.</w:t>
            </w:r>
          </w:p>
        </w:tc>
        <w:tc>
          <w:tcPr/>
          <w:p>
            <w:pPr>
              <w:pStyle w:val="Compact"/>
              <w:jc w:val="left"/>
            </w:pPr>
            <w:r>
              <w:t xml:space="preserve">3</w:t>
            </w:r>
          </w:p>
        </w:tc>
        <w:tc>
          <w:tcPr/>
          <w:p>
            <w:pPr>
              <w:pStyle w:val="Compact"/>
              <w:jc w:val="left"/>
            </w:pPr>
            <w:r>
              <w:t xml:space="preserve">600,000</w:t>
            </w:r>
          </w:p>
        </w:tc>
        <w:tc>
          <w:tcPr/>
          <w:p>
            <w:pPr>
              <w:pStyle w:val="Compact"/>
              <w:jc w:val="left"/>
            </w:pPr>
            <w:r>
              <w:t xml:space="preserve">1,800,000</w:t>
            </w:r>
          </w:p>
        </w:tc>
      </w:tr>
      <w:tr>
        <w:tc>
          <w:tcPr/>
          <w:p>
            <w:pPr>
              <w:pStyle w:val="Compact"/>
              <w:jc w:val="left"/>
            </w:pPr>
            <w:r>
              <w:rPr>
                <w:bCs/>
                <w:b/>
              </w:rPr>
              <w:t xml:space="preserve">Technical Consultation &amp; Regulatory Compliance Report</w:t>
            </w:r>
            <w:r>
              <w:br/>
            </w:r>
            <w:r>
              <w:t xml:space="preserve">Review of equipment logs and generation of compliance documentation for INVIMA standards.</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bl>
    <w:p>
      <w:pPr>
        <w:pStyle w:val="BodyText"/>
      </w:pPr>
      <w:r>
        <w:t xml:space="preserve">Subtotal:</w:t>
      </w:r>
      <w:r>
        <w:t xml:space="preserve"> </w:t>
      </w:r>
      <w:r>
        <w:t xml:space="preserve">$20,300,000 COP</w:t>
      </w:r>
    </w:p>
    <w:p>
      <w:pPr>
        <w:pStyle w:val="BodyText"/>
      </w:pPr>
      <w:r>
        <w:t xml:space="preserve">IVA (19% Tax):</w:t>
      </w:r>
      <w:r>
        <w:t xml:space="preserve"> </w:t>
      </w:r>
      <w:r>
        <w:t xml:space="preserve">$3,857,000 COP</w:t>
      </w:r>
    </w:p>
    <w:p>
      <w:pPr>
        <w:pStyle w:val="BodyText"/>
      </w:pPr>
      <w:r>
        <w:t xml:space="preserve">TOTAL DUE:</w:t>
      </w:r>
      <w:r>
        <w:t xml:space="preserve"> </w:t>
      </w:r>
      <w:r>
        <w:t xml:space="preserve">$24,157,000 COP</w:t>
      </w:r>
    </w:p>
    <w:bookmarkStart w:id="24" w:name="payment-instructions"/>
    <w:p>
      <w:pPr>
        <w:pStyle w:val="Heading3"/>
      </w:pPr>
      <w:r>
        <w:t xml:space="preserve">Payment Instructions</w:t>
      </w:r>
    </w:p>
    <w:p>
      <w:pPr>
        <w:pStyle w:val="FirstParagraph"/>
      </w:pPr>
      <w:r>
        <w:t xml:space="preserve">Please make payment via bank transfer to the following account within 30 days of the invoice date.</w:t>
      </w:r>
    </w:p>
    <w:p>
      <w:pPr>
        <w:pStyle w:val="BodyText"/>
      </w:pPr>
      <w:r>
        <w:rPr>
          <w:bCs/>
          <w:b/>
        </w:rPr>
        <w:t xml:space="preserve">Bank:</w:t>
      </w:r>
      <w:r>
        <w:t xml:space="preserve"> </w:t>
      </w:r>
      <w:r>
        <w:t xml:space="preserve">Bancolombia</w:t>
      </w:r>
      <w:r>
        <w:br/>
      </w:r>
      <w:r>
        <w:rPr>
          <w:bCs/>
          <w:b/>
        </w:rPr>
        <w:t xml:space="preserve">Account Name:</w:t>
      </w:r>
      <w:r>
        <w:t xml:space="preserve"> </w:t>
      </w:r>
      <w:r>
        <w:t xml:space="preserve">MedTech Solutions S.A.S.</w:t>
      </w:r>
      <w:r>
        <w:br/>
      </w:r>
      <w:r>
        <w:rPr>
          <w:bCs/>
          <w:b/>
        </w:rPr>
        <w:t xml:space="preserve">Account Number:</w:t>
      </w:r>
      <w:r>
        <w:t xml:space="preserve"> </w:t>
      </w:r>
      <w:r>
        <w:t xml:space="preserve">123-456789-00</w:t>
      </w:r>
      <w:r>
        <w:br/>
      </w:r>
      <w:r>
        <w:rPr>
          <w:bCs/>
          <w:b/>
        </w:rPr>
        <w:t xml:space="preserve">Reference:</w:t>
      </w:r>
      <w:r>
        <w:t xml:space="preserve"> </w:t>
      </w:r>
      <w:r>
        <w:t xml:space="preserve">INV-2023-10-045</w:t>
      </w:r>
    </w:p>
    <w:p>
      <w:pPr>
        <w:pStyle w:val="BodyText"/>
      </w:pPr>
      <w:r>
        <w:t xml:space="preserve">For payments made in Medellín, we also accept cash deposits at our branch office during business hours (Monday to Friday, 8:00 AM - 5:00 PM).</w:t>
      </w:r>
    </w:p>
    <w:bookmarkEnd w:id="24"/>
    <w:p>
      <w:pPr>
        <w:pStyle w:val="BodyText"/>
      </w:pPr>
      <w:r>
        <w:rPr>
          <w:bCs/>
          <w:b/>
        </w:rPr>
        <w:t xml:space="preserve">Terms and Conditions:</w:t>
      </w:r>
      <w:r>
        <w:t xml:space="preserve"> </w:t>
      </w:r>
      <w:r>
        <w:t xml:space="preserve">This invoice is issued in accordance with the tax regulations of the Republic of Colombia. Late payments may incur a penalty of 1.5% per month. All services are guaranteed for 90 days from the date of completion. In case of disputes, the parties agree to submit to the jurisdiction of the courts of Medellín, Antioquia. This document serves as a formal request for payment for professional Biomedical Engineering services rendered.</w:t>
      </w:r>
    </w:p>
    <w:p>
      <w:pPr>
        <w:pStyle w:val="BodyText"/>
      </w:pPr>
      <w:r>
        <w:t xml:space="preserve">Thank you for choosing MedTech Solutions S.A.S. for your biomedical engineering needs in Colombia.</w:t>
      </w:r>
      <w:r>
        <w:br/>
      </w:r>
      <w:r>
        <w:t xml:space="preserve">Committed to excellence in medical technology management in Medellín and beyond.</w:t>
      </w:r>
    </w:p>
    <w:p>
      <w:pPr>
        <w:pStyle w:val="BodyText"/>
      </w:pPr>
      <w:r>
        <w:t xml:space="preserve">© 2023 MedTech Solutions S.A.S.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Biomedical Engineering Services</dc:title>
  <dc:creator/>
  <dc:language>en</dc:language>
  <cp:keywords/>
  <dcterms:created xsi:type="dcterms:W3CDTF">2026-10-10T07:33:32Z</dcterms:created>
  <dcterms:modified xsi:type="dcterms:W3CDTF">2026-10-10T07:33:32Z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